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eastAsia="方正小标宋简体" w:cs="方正小标宋简体"/>
          <w:bCs/>
          <w:sz w:val="44"/>
          <w:szCs w:val="44"/>
        </w:rPr>
      </w:pPr>
      <w:bookmarkStart w:id="32" w:name="_GoBack"/>
      <w:bookmarkEnd w:id="32"/>
      <w:bookmarkStart w:id="0" w:name="_Toc518995423"/>
      <w:r>
        <w:rPr>
          <w:rFonts w:hint="eastAsia" w:eastAsia="方正小标宋简体" w:cs="方正小标宋简体"/>
          <w:bCs/>
          <w:sz w:val="44"/>
          <w:szCs w:val="44"/>
        </w:rPr>
        <w:t>温州医科大学公共卫生硕士</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eastAsia="方正小标宋简体" w:cs="方正小标宋简体"/>
          <w:sz w:val="44"/>
          <w:szCs w:val="44"/>
        </w:rPr>
      </w:pPr>
      <w:r>
        <w:rPr>
          <w:rFonts w:hint="eastAsia" w:eastAsia="方正小标宋简体" w:cs="方正小标宋简体"/>
          <w:bCs/>
          <w:sz w:val="44"/>
          <w:szCs w:val="44"/>
        </w:rPr>
        <w:t>专业学位研究生培养方案</w:t>
      </w:r>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一、培养目标</w:t>
      </w:r>
      <w:bookmarkEnd w:id="0"/>
    </w:p>
    <w:p>
      <w:pPr>
        <w:widowControl/>
        <w:spacing w:line="560" w:lineRule="exact"/>
        <w:ind w:firstLine="640" w:firstLineChars="200"/>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公共卫生硕士专业学位研究生培养必须贯彻“面向现代化、面向世界、面向未来”的指导思想，坚持德、智、体、美、劳全面发展，以培养适应社会主义市场经济需要、促进卫生事业发展，为公共卫生部门，包括卫生行政部门、医院、疾病控制中心、社区卫生机构、检验检疫机构等培养德智体全面发展、高层次、高素质、复合型与应急型的公共卫生专门人才。具体要求如下：</w:t>
      </w:r>
    </w:p>
    <w:p>
      <w:pPr>
        <w:spacing w:line="560" w:lineRule="exact"/>
        <w:ind w:firstLine="640" w:firstLineChars="200"/>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（一）热爱祖国、遵纪守法、品德高尚，具有严谨学风、强烈事业心和为国家卫生事业献身的精神；</w:t>
      </w:r>
    </w:p>
    <w:p>
      <w:pPr>
        <w:spacing w:line="560" w:lineRule="exact"/>
        <w:ind w:firstLine="640" w:firstLineChars="200"/>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（二）熟练掌握现代公共卫生及相关学科的基础理论知识、相关健康管理方法和技能，能综合运用专业知识，结合公共卫生实际，独立从事公共卫生的现场工作；</w:t>
      </w:r>
    </w:p>
    <w:p>
      <w:pPr>
        <w:spacing w:line="560" w:lineRule="exact"/>
        <w:ind w:firstLine="640" w:firstLineChars="200"/>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（三）掌握一门外语，具有熟练阅读本专业外文资料的能力、进行一般学术交流的能力及一定的写作能力。</w:t>
      </w:r>
    </w:p>
    <w:p>
      <w:pPr>
        <w:spacing w:line="560" w:lineRule="exact"/>
        <w:ind w:firstLine="640" w:firstLineChars="200"/>
        <w:rPr>
          <w:rFonts w:hint="default" w:ascii="Times New Roman" w:hAnsi="Times New Roman" w:eastAsia="黑体" w:cs="Times New Roman"/>
          <w:bCs/>
          <w:sz w:val="32"/>
          <w:szCs w:val="32"/>
        </w:rPr>
      </w:pPr>
      <w:bookmarkStart w:id="1" w:name="_Toc518995425"/>
      <w:r>
        <w:rPr>
          <w:rFonts w:hint="default" w:ascii="Times New Roman" w:hAnsi="Times New Roman" w:eastAsia="黑体" w:cs="Times New Roman"/>
          <w:bCs/>
          <w:sz w:val="32"/>
          <w:szCs w:val="32"/>
        </w:rPr>
        <w:t>二、培养方式及年限</w:t>
      </w:r>
      <w:bookmarkEnd w:id="1"/>
    </w:p>
    <w:p>
      <w:pPr>
        <w:spacing w:line="560" w:lineRule="exact"/>
        <w:ind w:firstLine="640" w:firstLineChars="200"/>
        <w:rPr>
          <w:rFonts w:hint="default" w:ascii="Times New Roman" w:hAnsi="Times New Roman" w:eastAsia="方正楷体_GB2312" w:cs="Times New Roman"/>
          <w:sz w:val="32"/>
          <w:szCs w:val="32"/>
        </w:rPr>
      </w:pPr>
      <w:bookmarkStart w:id="2" w:name="_Toc518995426"/>
      <w:r>
        <w:rPr>
          <w:rFonts w:hint="default" w:ascii="Times New Roman" w:hAnsi="Times New Roman" w:eastAsia="方正楷体_GB2312" w:cs="Times New Roman"/>
          <w:sz w:val="32"/>
          <w:szCs w:val="32"/>
        </w:rPr>
        <w:t>（一）培养方式</w:t>
      </w:r>
      <w:bookmarkEnd w:id="2"/>
    </w:p>
    <w:p>
      <w:pPr>
        <w:widowControl/>
        <w:spacing w:line="560" w:lineRule="exact"/>
        <w:ind w:firstLine="640" w:firstLineChars="200"/>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紧密结合我国公共卫生领域实际需要：采用理论学习、公共卫生实践、课题研究三结合的培养模式，注重培养解决实际问题能力和管理能力。</w:t>
      </w:r>
    </w:p>
    <w:p>
      <w:pPr>
        <w:widowControl/>
        <w:spacing w:line="560" w:lineRule="exact"/>
        <w:ind w:firstLine="640" w:firstLineChars="200"/>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实行双导师制培养方式，即在我校和实践单位分别聘任研究生指导教师。校内导师负责指导研究生的课程学习和培养全过程协调，实践单位导师负责指导研究生实践活动。根据本专业培养方案要求及学生具体情况，校内导师与实践单位导师共同制订培养计划，定期检查培养方案的实施情况。实践单位的导师由已获得我校研究生导师资格或公共卫生与管理学院聘请为研究生导师的人员担任。</w:t>
      </w:r>
    </w:p>
    <w:p>
      <w:pPr>
        <w:spacing w:line="560" w:lineRule="exact"/>
        <w:ind w:firstLine="640" w:firstLineChars="200"/>
        <w:rPr>
          <w:rFonts w:hint="default" w:ascii="Times New Roman" w:hAnsi="Times New Roman" w:eastAsia="方正楷体_GB2312" w:cs="Times New Roman"/>
          <w:sz w:val="32"/>
          <w:szCs w:val="32"/>
        </w:rPr>
      </w:pPr>
      <w:bookmarkStart w:id="3" w:name="_Toc518995427"/>
      <w:r>
        <w:rPr>
          <w:rFonts w:hint="default" w:ascii="Times New Roman" w:hAnsi="Times New Roman" w:eastAsia="方正楷体_GB2312" w:cs="Times New Roman"/>
          <w:sz w:val="32"/>
          <w:szCs w:val="32"/>
        </w:rPr>
        <w:t>（二）培养年限</w:t>
      </w:r>
      <w:bookmarkEnd w:id="3"/>
    </w:p>
    <w:p>
      <w:pPr>
        <w:spacing w:line="560" w:lineRule="exact"/>
        <w:ind w:firstLine="640" w:firstLineChars="200"/>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硕士生的学制为三年。硕士生在规定的学制时间内不能完成学业的，可以申请延长学习年限，但总学习年限不得超过五年。</w:t>
      </w:r>
    </w:p>
    <w:p>
      <w:pPr>
        <w:spacing w:line="560" w:lineRule="exact"/>
        <w:ind w:firstLine="640" w:firstLineChars="200"/>
        <w:rPr>
          <w:rFonts w:hint="default" w:ascii="Times New Roman" w:hAnsi="Times New Roman" w:eastAsia="方正楷体_GB2312" w:cs="Times New Roman"/>
          <w:sz w:val="32"/>
          <w:szCs w:val="32"/>
        </w:rPr>
      </w:pPr>
      <w:bookmarkStart w:id="4" w:name="_Toc518995428"/>
      <w:r>
        <w:rPr>
          <w:rFonts w:hint="default" w:ascii="Times New Roman" w:hAnsi="Times New Roman" w:eastAsia="方正楷体_GB2312" w:cs="Times New Roman"/>
          <w:sz w:val="32"/>
          <w:szCs w:val="32"/>
        </w:rPr>
        <w:t>（三）培养要求</w:t>
      </w:r>
      <w:bookmarkEnd w:id="4"/>
    </w:p>
    <w:p>
      <w:pPr>
        <w:widowControl/>
        <w:spacing w:line="560" w:lineRule="exact"/>
        <w:ind w:firstLine="640" w:firstLineChars="200"/>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加强知识与技能的实用性和复合性培养，使学生掌握和具备以下知识和能力：</w:t>
      </w:r>
    </w:p>
    <w:p>
      <w:pPr>
        <w:widowControl/>
        <w:spacing w:line="560" w:lineRule="exact"/>
        <w:ind w:firstLine="640" w:firstLineChars="200"/>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1.掌握一定卫生法律、法规、政策理论；</w:t>
      </w:r>
    </w:p>
    <w:p>
      <w:pPr>
        <w:widowControl/>
        <w:spacing w:line="560" w:lineRule="exact"/>
        <w:ind w:firstLine="640" w:firstLineChars="200"/>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2.掌握公共卫生的基本理论和卫生监督、监测基本技能，能独立开展公共卫生专业领域的深入研究；</w:t>
      </w:r>
    </w:p>
    <w:p>
      <w:pPr>
        <w:widowControl/>
        <w:spacing w:line="560" w:lineRule="exact"/>
        <w:ind w:firstLine="640" w:firstLineChars="200"/>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3.能够设计、实施和评价公共卫生项目；</w:t>
      </w:r>
    </w:p>
    <w:p>
      <w:pPr>
        <w:widowControl/>
        <w:spacing w:line="560" w:lineRule="exact"/>
        <w:ind w:firstLine="640" w:firstLineChars="200"/>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4.系统掌握公共卫生调查研究方法和卫生事业管理的基本知识和技能；</w:t>
      </w:r>
    </w:p>
    <w:p>
      <w:pPr>
        <w:widowControl/>
        <w:spacing w:line="560" w:lineRule="exact"/>
        <w:ind w:firstLine="640" w:firstLineChars="200"/>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5.掌握应对突发性公共卫生事件现场处置与指挥的基本要领。</w:t>
      </w:r>
    </w:p>
    <w:p>
      <w:pPr>
        <w:spacing w:line="560" w:lineRule="exact"/>
        <w:ind w:firstLine="640" w:firstLineChars="200"/>
        <w:rPr>
          <w:rFonts w:hint="default" w:ascii="Times New Roman" w:hAnsi="Times New Roman" w:eastAsia="黑体" w:cs="Times New Roman"/>
          <w:bCs/>
          <w:sz w:val="32"/>
          <w:szCs w:val="32"/>
        </w:rPr>
      </w:pPr>
      <w:bookmarkStart w:id="5" w:name="_Toc518995429"/>
      <w:r>
        <w:rPr>
          <w:rFonts w:hint="default" w:ascii="Times New Roman" w:hAnsi="Times New Roman" w:eastAsia="黑体" w:cs="Times New Roman"/>
          <w:bCs/>
          <w:sz w:val="32"/>
          <w:szCs w:val="32"/>
        </w:rPr>
        <w:t>三、学科方向</w:t>
      </w:r>
      <w:bookmarkEnd w:id="5"/>
    </w:p>
    <w:p>
      <w:pPr>
        <w:widowControl/>
        <w:spacing w:line="560" w:lineRule="exact"/>
        <w:ind w:firstLine="640" w:firstLineChars="200"/>
        <w:rPr>
          <w:rFonts w:hint="default" w:ascii="Times New Roman" w:hAnsi="Times New Roman" w:eastAsia="方正仿宋_GB2312" w:cs="Times New Roman"/>
          <w:sz w:val="32"/>
          <w:szCs w:val="32"/>
        </w:rPr>
      </w:pPr>
      <w:bookmarkStart w:id="6" w:name="_Toc518995430"/>
      <w:r>
        <w:rPr>
          <w:rFonts w:hint="default" w:ascii="Times New Roman" w:hAnsi="Times New Roman" w:eastAsia="方正仿宋_GB2312" w:cs="Times New Roman"/>
          <w:sz w:val="32"/>
          <w:szCs w:val="32"/>
        </w:rPr>
        <w:t>（一）社区卫生与健康管理</w:t>
      </w:r>
      <w:bookmarkEnd w:id="6"/>
    </w:p>
    <w:p>
      <w:pPr>
        <w:widowControl/>
        <w:spacing w:line="560" w:lineRule="exact"/>
        <w:ind w:firstLine="640" w:firstLineChars="200"/>
        <w:rPr>
          <w:rFonts w:hint="default" w:ascii="Times New Roman" w:hAnsi="Times New Roman" w:eastAsia="方正仿宋_GB2312" w:cs="Times New Roman"/>
          <w:sz w:val="32"/>
          <w:szCs w:val="32"/>
        </w:rPr>
      </w:pPr>
      <w:bookmarkStart w:id="7" w:name="_Toc518995431"/>
      <w:r>
        <w:rPr>
          <w:rFonts w:hint="default" w:ascii="Times New Roman" w:hAnsi="Times New Roman" w:eastAsia="方正仿宋_GB2312" w:cs="Times New Roman"/>
          <w:sz w:val="32"/>
          <w:szCs w:val="32"/>
        </w:rPr>
        <w:t>（二）疾病预防与控制</w:t>
      </w:r>
      <w:bookmarkEnd w:id="7"/>
    </w:p>
    <w:p>
      <w:pPr>
        <w:widowControl/>
        <w:spacing w:line="560" w:lineRule="exact"/>
        <w:ind w:firstLine="640" w:firstLineChars="200"/>
        <w:rPr>
          <w:rFonts w:hint="default" w:ascii="Times New Roman" w:hAnsi="Times New Roman" w:eastAsia="方正仿宋_GB2312" w:cs="Times New Roman"/>
          <w:sz w:val="32"/>
          <w:szCs w:val="32"/>
        </w:rPr>
      </w:pPr>
      <w:bookmarkStart w:id="8" w:name="_Toc518995432"/>
      <w:r>
        <w:rPr>
          <w:rFonts w:hint="default" w:ascii="Times New Roman" w:hAnsi="Times New Roman" w:eastAsia="方正仿宋_GB2312" w:cs="Times New Roman"/>
          <w:sz w:val="32"/>
          <w:szCs w:val="32"/>
        </w:rPr>
        <w:t>（三）环境安全与健康风险评估</w:t>
      </w:r>
      <w:bookmarkEnd w:id="8"/>
    </w:p>
    <w:p>
      <w:pPr>
        <w:widowControl/>
        <w:spacing w:line="560" w:lineRule="exact"/>
        <w:ind w:firstLine="640" w:firstLineChars="200"/>
        <w:rPr>
          <w:rFonts w:hint="default" w:ascii="Times New Roman" w:hAnsi="Times New Roman" w:eastAsia="方正仿宋_GB2312" w:cs="Times New Roman"/>
          <w:sz w:val="32"/>
          <w:szCs w:val="32"/>
        </w:rPr>
      </w:pPr>
      <w:bookmarkStart w:id="9" w:name="_Toc518995433"/>
      <w:r>
        <w:rPr>
          <w:rFonts w:hint="default" w:ascii="Times New Roman" w:hAnsi="Times New Roman" w:eastAsia="方正仿宋_GB2312" w:cs="Times New Roman"/>
          <w:sz w:val="32"/>
          <w:szCs w:val="32"/>
        </w:rPr>
        <w:t>（四）营养与食品安全</w:t>
      </w:r>
      <w:bookmarkEnd w:id="9"/>
    </w:p>
    <w:p>
      <w:pPr>
        <w:spacing w:line="560" w:lineRule="exact"/>
        <w:ind w:firstLine="640" w:firstLineChars="200"/>
        <w:rPr>
          <w:rFonts w:hint="default" w:ascii="Times New Roman" w:hAnsi="Times New Roman" w:eastAsia="黑体" w:cs="Times New Roman"/>
          <w:bCs/>
          <w:sz w:val="32"/>
          <w:szCs w:val="32"/>
        </w:rPr>
      </w:pPr>
      <w:bookmarkStart w:id="10" w:name="_Toc518995434"/>
      <w:r>
        <w:rPr>
          <w:rFonts w:hint="default" w:ascii="Times New Roman" w:hAnsi="Times New Roman" w:eastAsia="黑体" w:cs="Times New Roman"/>
          <w:bCs/>
          <w:sz w:val="32"/>
          <w:szCs w:val="32"/>
        </w:rPr>
        <w:t>四、</w:t>
      </w:r>
      <w:bookmarkEnd w:id="10"/>
      <w:r>
        <w:rPr>
          <w:rFonts w:hint="default" w:ascii="Times New Roman" w:hAnsi="Times New Roman" w:eastAsia="黑体" w:cs="Times New Roman"/>
          <w:bCs/>
          <w:sz w:val="32"/>
          <w:szCs w:val="32"/>
        </w:rPr>
        <w:t>培养内容及学分要求</w:t>
      </w:r>
    </w:p>
    <w:p>
      <w:pPr>
        <w:spacing w:line="560" w:lineRule="exact"/>
        <w:ind w:firstLine="640" w:firstLineChars="200"/>
        <w:rPr>
          <w:rFonts w:hint="default" w:ascii="Times New Roman" w:hAnsi="Times New Roman" w:eastAsia="方正仿宋_GB2312" w:cs="Times New Roman"/>
          <w:sz w:val="32"/>
          <w:szCs w:val="32"/>
        </w:rPr>
      </w:pPr>
      <w:bookmarkStart w:id="11" w:name="_Toc518995435"/>
      <w:r>
        <w:rPr>
          <w:rFonts w:hint="default" w:ascii="Times New Roman" w:hAnsi="Times New Roman" w:eastAsia="方正仿宋_GB2312" w:cs="Times New Roman"/>
          <w:sz w:val="32"/>
          <w:szCs w:val="32"/>
        </w:rPr>
        <w:t>硕士生申请毕业前必须修满不少于85个学分，包括课程学习学分（≥20学分）、</w:t>
      </w:r>
      <w:bookmarkStart w:id="12" w:name="_Hlk45659837"/>
      <w:r>
        <w:rPr>
          <w:rFonts w:hint="default" w:ascii="Times New Roman" w:hAnsi="Times New Roman" w:eastAsia="方正仿宋_GB2312" w:cs="Times New Roman"/>
          <w:sz w:val="32"/>
          <w:szCs w:val="32"/>
        </w:rPr>
        <w:t>公共卫生实践技能训练</w:t>
      </w:r>
      <w:bookmarkEnd w:id="12"/>
      <w:r>
        <w:rPr>
          <w:rFonts w:hint="default" w:ascii="Times New Roman" w:hAnsi="Times New Roman" w:eastAsia="方正仿宋_GB2312" w:cs="Times New Roman"/>
          <w:sz w:val="32"/>
          <w:szCs w:val="32"/>
        </w:rPr>
        <w:t>(10学分)、开题学分（10学分）、中期考核学分(10学分)、学科进展研讨学分(5学分)、学位论文学分(30学分)。</w:t>
      </w:r>
    </w:p>
    <w:p>
      <w:pPr>
        <w:spacing w:line="560" w:lineRule="exact"/>
        <w:ind w:firstLine="640" w:firstLineChars="200"/>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申请学位者，除获得毕业要求的学分外，另需获得发表论文学分(10学分)。</w:t>
      </w:r>
    </w:p>
    <w:p>
      <w:pPr>
        <w:spacing w:line="560" w:lineRule="exact"/>
        <w:ind w:firstLine="640" w:firstLineChars="200"/>
        <w:rPr>
          <w:rFonts w:hint="default" w:ascii="Times New Roman" w:hAnsi="Times New Roman" w:eastAsia="方正楷体_GB2312" w:cs="Times New Roman"/>
          <w:sz w:val="32"/>
          <w:szCs w:val="32"/>
        </w:rPr>
      </w:pPr>
      <w:r>
        <w:rPr>
          <w:rFonts w:hint="default" w:ascii="Times New Roman" w:hAnsi="Times New Roman" w:eastAsia="方正楷体_GB2312" w:cs="Times New Roman"/>
          <w:sz w:val="32"/>
          <w:szCs w:val="32"/>
        </w:rPr>
        <w:t>（一）课程学习（≥20学分）</w:t>
      </w:r>
    </w:p>
    <w:bookmarkEnd w:id="11"/>
    <w:p>
      <w:pPr>
        <w:spacing w:line="560" w:lineRule="exact"/>
        <w:ind w:firstLine="640" w:firstLineChars="200"/>
        <w:rPr>
          <w:rFonts w:hint="default" w:ascii="Times New Roman" w:hAnsi="Times New Roman" w:eastAsia="方正仿宋_GB2312" w:cs="Times New Roman"/>
          <w:color w:val="000000"/>
          <w:sz w:val="32"/>
          <w:szCs w:val="32"/>
        </w:rPr>
      </w:pPr>
      <w:bookmarkStart w:id="13" w:name="_Toc518995438"/>
      <w:r>
        <w:rPr>
          <w:rFonts w:hint="default" w:ascii="Times New Roman" w:hAnsi="Times New Roman" w:eastAsia="方正仿宋_GB2312" w:cs="Times New Roman"/>
          <w:color w:val="000000"/>
          <w:sz w:val="32"/>
          <w:szCs w:val="32"/>
        </w:rPr>
        <w:t>课程学习分为公共必修课、专业必修课和专业选修课，在第一个学期完成。未完成本专业规定课程学分者须延长学习年限。成绩达60分及以上为及格，所有课程加权平均成绩必须达75分及以上方可申请学位，凡课程不及格或课程加权平均成绩未达规定要求者可申请重修。</w:t>
      </w:r>
    </w:p>
    <w:p>
      <w:pPr>
        <w:spacing w:line="560" w:lineRule="exact"/>
        <w:ind w:firstLine="640" w:firstLineChars="200"/>
        <w:rPr>
          <w:rFonts w:hint="default" w:ascii="Times New Roman" w:hAnsi="Times New Roman" w:eastAsia="方正仿宋_GB2312" w:cs="Times New Roman"/>
          <w:color w:val="000000"/>
          <w:sz w:val="32"/>
          <w:szCs w:val="32"/>
        </w:rPr>
      </w:pPr>
      <w:r>
        <w:rPr>
          <w:rFonts w:hint="default" w:ascii="Times New Roman" w:hAnsi="Times New Roman" w:eastAsia="方正仿宋_GB2312" w:cs="Times New Roman"/>
          <w:color w:val="000000"/>
          <w:sz w:val="32"/>
          <w:szCs w:val="32"/>
        </w:rPr>
        <w:t>具体课程设置详见附录一。</w:t>
      </w:r>
    </w:p>
    <w:bookmarkEnd w:id="13"/>
    <w:p>
      <w:pPr>
        <w:spacing w:line="560" w:lineRule="exact"/>
        <w:ind w:firstLine="640" w:firstLineChars="200"/>
        <w:rPr>
          <w:rFonts w:hint="default" w:ascii="Times New Roman" w:hAnsi="Times New Roman" w:eastAsia="方正楷体_GB2312" w:cs="Times New Roman"/>
          <w:sz w:val="32"/>
          <w:szCs w:val="32"/>
        </w:rPr>
      </w:pPr>
      <w:r>
        <w:rPr>
          <w:rFonts w:hint="default" w:ascii="Times New Roman" w:hAnsi="Times New Roman" w:eastAsia="方正楷体_GB2312" w:cs="Times New Roman"/>
          <w:sz w:val="32"/>
          <w:szCs w:val="32"/>
        </w:rPr>
        <w:t xml:space="preserve">（二）公共卫生实践技能训练（10学分） </w:t>
      </w:r>
    </w:p>
    <w:p>
      <w:pPr>
        <w:spacing w:line="560" w:lineRule="exact"/>
        <w:ind w:firstLine="640" w:firstLineChars="200"/>
        <w:rPr>
          <w:rFonts w:hint="default" w:ascii="Times New Roman" w:hAnsi="Times New Roman" w:eastAsia="方正仿宋_GB2312" w:cs="Times New Roman"/>
          <w:color w:val="000000"/>
          <w:sz w:val="32"/>
          <w:szCs w:val="32"/>
        </w:rPr>
      </w:pPr>
      <w:r>
        <w:rPr>
          <w:rFonts w:hint="default" w:ascii="Times New Roman" w:hAnsi="Times New Roman" w:eastAsia="方正仿宋_GB2312" w:cs="Times New Roman"/>
          <w:sz w:val="32"/>
          <w:szCs w:val="32"/>
        </w:rPr>
        <w:t>研究生学习期间必须参加公共卫生实践工作，努力提高从事公共卫生实践的技能，时间为半年至1年。实践的基本范围可根据培养方向去1～2个不同性质的公共卫生机构，通过听取介绍、实地见习，了解我国公共卫生体系组织结构、管理体制、工作范畴、任务职责、管理形式、卫生服务需求等现状。同时结合现场实践，就亟待解决的公共卫生问题进行分析和研讨，并及时填写不少于4份的现场实践记录和撰写1份不少于3000字的实践总结报告，</w:t>
      </w:r>
      <w:bookmarkStart w:id="14" w:name="_Hlk43415463"/>
      <w:r>
        <w:rPr>
          <w:rFonts w:hint="default" w:ascii="Times New Roman" w:hAnsi="Times New Roman" w:eastAsia="方正仿宋_GB2312" w:cs="Times New Roman"/>
          <w:color w:val="000000"/>
          <w:sz w:val="32"/>
          <w:szCs w:val="32"/>
        </w:rPr>
        <w:t>（报告主题和格式要求详见附件2），本项考核需在预答辩前完成，由导师组进行评定与考核，考核合格后可获得10学分。考核未通过者可申请补考核一次，合格后方可进入后续培养环节。</w:t>
      </w:r>
      <w:bookmarkEnd w:id="14"/>
    </w:p>
    <w:p>
      <w:pPr>
        <w:spacing w:line="560" w:lineRule="exact"/>
        <w:ind w:firstLine="640" w:firstLineChars="200"/>
        <w:rPr>
          <w:rFonts w:hint="default" w:ascii="Times New Roman" w:hAnsi="Times New Roman" w:eastAsia="方正楷体_GB2312" w:cs="Times New Roman"/>
          <w:sz w:val="32"/>
          <w:szCs w:val="32"/>
        </w:rPr>
      </w:pPr>
      <w:r>
        <w:rPr>
          <w:rFonts w:hint="default" w:ascii="Times New Roman" w:hAnsi="Times New Roman" w:eastAsia="方正楷体_GB2312" w:cs="Times New Roman"/>
          <w:sz w:val="32"/>
          <w:szCs w:val="32"/>
        </w:rPr>
        <w:t>（三）开题报告（10学分）</w:t>
      </w:r>
    </w:p>
    <w:p>
      <w:pPr>
        <w:spacing w:line="560" w:lineRule="exact"/>
        <w:ind w:firstLine="640" w:firstLineChars="200"/>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导师指导硕士生，通过查阅收集有关文献资料、调查及预实验研究等，进行论文选题。并于第二学期指导硕士生作公开的开题报告，报告其选题依据和研究工作计划；开题报告会由具有高级职称的专家3～5人组成，与会者应对选题的先进性，科研设计的严密性，方法和指标选择的科学性等进行评论。开题报告必须有详细记录，并填写《温州医科大学研究生学位论文开题报告登记表》。开题报告后，导师应督促硕士生在与会者所提意见的基础上进一步修改课题研究计划。</w:t>
      </w:r>
    </w:p>
    <w:p>
      <w:pPr>
        <w:spacing w:line="560" w:lineRule="exact"/>
        <w:ind w:firstLine="640" w:firstLineChars="200"/>
        <w:rPr>
          <w:rFonts w:hint="default" w:ascii="Times New Roman" w:hAnsi="Times New Roman" w:eastAsia="方正楷体_GB2312" w:cs="Times New Roman"/>
          <w:sz w:val="32"/>
          <w:szCs w:val="32"/>
        </w:rPr>
      </w:pPr>
      <w:r>
        <w:rPr>
          <w:rFonts w:hint="default" w:ascii="Times New Roman" w:hAnsi="Times New Roman" w:eastAsia="方正楷体_GB2312" w:cs="Times New Roman"/>
          <w:sz w:val="32"/>
          <w:szCs w:val="32"/>
        </w:rPr>
        <w:t>（四）中期考核（10学分）</w:t>
      </w:r>
    </w:p>
    <w:p>
      <w:pPr>
        <w:spacing w:line="560" w:lineRule="exact"/>
        <w:ind w:firstLine="640" w:firstLineChars="200"/>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研究生中期考核是研究生培养的重要环节，旨在对研究生思想品德、知识掌握与应用、科研与创新能力和专业技术水平等方面进行阶段性总结和评价，合理调整培养计划，激发研究生学习的主动性，确保研究生培养质量。</w:t>
      </w:r>
    </w:p>
    <w:p>
      <w:pPr>
        <w:widowControl/>
        <w:spacing w:line="560" w:lineRule="exact"/>
        <w:ind w:firstLine="640" w:firstLineChars="200"/>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1.考核时间：中期考核时间一般在第三学期进行。</w:t>
      </w:r>
    </w:p>
    <w:p>
      <w:pPr>
        <w:widowControl/>
        <w:spacing w:line="560" w:lineRule="exact"/>
        <w:ind w:firstLine="640" w:firstLineChars="200"/>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2.考核内容：按照全面发展的要求，对照检查个人培养计划执行情况，全面考核研究生思想政治素质和道德品质、课程学习、论文进展及科研创新能力等。</w:t>
      </w:r>
    </w:p>
    <w:p>
      <w:pPr>
        <w:widowControl/>
        <w:spacing w:line="560" w:lineRule="exact"/>
        <w:ind w:firstLine="640" w:firstLineChars="200"/>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3.考核小组组成：一般由3</w:t>
      </w:r>
      <w:r>
        <w:rPr>
          <w:rFonts w:hint="default" w:ascii="Times New Roman" w:hAnsi="Times New Roman" w:eastAsia="方正仿宋_GB2312" w:cs="Times New Roman"/>
          <w:sz w:val="32"/>
          <w:szCs w:val="32"/>
          <w:lang w:eastAsia="zh-CN"/>
        </w:rPr>
        <w:t>～</w:t>
      </w:r>
      <w:r>
        <w:rPr>
          <w:rFonts w:hint="default" w:ascii="Times New Roman" w:hAnsi="Times New Roman" w:eastAsia="方正仿宋_GB2312" w:cs="Times New Roman"/>
          <w:sz w:val="32"/>
          <w:szCs w:val="32"/>
        </w:rPr>
        <w:t>5位副教授或相当专业技术职务及以上专家组成。研究生导师应列席或参加其所指导研究生的学位论文中期考核，但不能参与评分。</w:t>
      </w:r>
    </w:p>
    <w:p>
      <w:pPr>
        <w:spacing w:line="560" w:lineRule="exact"/>
        <w:ind w:firstLine="640" w:firstLineChars="200"/>
        <w:rPr>
          <w:rFonts w:hint="default" w:ascii="Times New Roman" w:hAnsi="Times New Roman" w:eastAsia="方正仿宋_GB2312" w:cs="Times New Roman"/>
          <w:color w:val="000000"/>
          <w:sz w:val="32"/>
          <w:szCs w:val="32"/>
        </w:rPr>
      </w:pPr>
      <w:r>
        <w:rPr>
          <w:rFonts w:hint="default" w:ascii="Times New Roman" w:hAnsi="Times New Roman" w:eastAsia="方正仿宋_GB2312" w:cs="Times New Roman"/>
          <w:sz w:val="32"/>
          <w:szCs w:val="32"/>
        </w:rPr>
        <w:t>4.考核程序、考核评定与结果处理：</w:t>
      </w:r>
      <w:r>
        <w:rPr>
          <w:rFonts w:hint="default" w:ascii="Times New Roman" w:hAnsi="Times New Roman" w:eastAsia="方正仿宋_GB2312" w:cs="Times New Roman"/>
          <w:color w:val="000000"/>
          <w:sz w:val="32"/>
          <w:szCs w:val="32"/>
        </w:rPr>
        <w:t>详见《温州医科大学研究生中期考核办法》温医大研〔2021〕31号。</w:t>
      </w:r>
    </w:p>
    <w:p>
      <w:pPr>
        <w:spacing w:line="560" w:lineRule="exact"/>
        <w:ind w:firstLine="640" w:firstLineChars="200"/>
        <w:rPr>
          <w:rFonts w:hint="default" w:ascii="Times New Roman" w:hAnsi="Times New Roman" w:eastAsia="方正楷体_GB2312" w:cs="Times New Roman"/>
          <w:sz w:val="32"/>
          <w:szCs w:val="32"/>
        </w:rPr>
      </w:pPr>
      <w:r>
        <w:rPr>
          <w:rFonts w:hint="default" w:ascii="Times New Roman" w:hAnsi="Times New Roman" w:eastAsia="方正楷体_GB2312" w:cs="Times New Roman"/>
          <w:sz w:val="32"/>
          <w:szCs w:val="32"/>
        </w:rPr>
        <w:t>（五）学科进展研讨（5学分）</w:t>
      </w:r>
    </w:p>
    <w:p>
      <w:pPr>
        <w:spacing w:line="560" w:lineRule="exact"/>
        <w:ind w:firstLine="640" w:firstLineChars="200"/>
        <w:rPr>
          <w:rFonts w:hint="default" w:ascii="Times New Roman" w:hAnsi="Times New Roman" w:eastAsia="方正仿宋_GB2312" w:cs="Times New Roman"/>
          <w:color w:val="000000"/>
          <w:sz w:val="32"/>
          <w:szCs w:val="32"/>
        </w:rPr>
      </w:pPr>
      <w:bookmarkStart w:id="15" w:name="_Toc43805971"/>
      <w:r>
        <w:rPr>
          <w:rFonts w:hint="default" w:ascii="Times New Roman" w:hAnsi="Times New Roman" w:eastAsia="方正仿宋_GB2312" w:cs="Times New Roman"/>
          <w:color w:val="000000"/>
          <w:sz w:val="32"/>
          <w:szCs w:val="32"/>
        </w:rPr>
        <w:t>1.读书报告或学术报告（2学分）</w:t>
      </w:r>
      <w:bookmarkEnd w:id="15"/>
    </w:p>
    <w:p>
      <w:pPr>
        <w:spacing w:line="560" w:lineRule="exact"/>
        <w:ind w:firstLine="640" w:firstLineChars="200"/>
        <w:rPr>
          <w:rFonts w:hint="default" w:ascii="Times New Roman" w:hAnsi="Times New Roman" w:eastAsia="方正仿宋_GB2312" w:cs="Times New Roman"/>
          <w:color w:val="000000"/>
          <w:sz w:val="32"/>
          <w:szCs w:val="32"/>
        </w:rPr>
      </w:pPr>
      <w:r>
        <w:rPr>
          <w:rFonts w:hint="default" w:ascii="Times New Roman" w:hAnsi="Times New Roman" w:eastAsia="方正仿宋_GB2312" w:cs="Times New Roman"/>
          <w:color w:val="000000"/>
          <w:sz w:val="32"/>
          <w:szCs w:val="32"/>
        </w:rPr>
        <w:t>（1）研究生应认真阅读本专业的经典理论著作或文献，写出字数不少于2000字的读书报告，由导师组统一评分，读书报告格式同科技论文。</w:t>
      </w:r>
    </w:p>
    <w:p>
      <w:pPr>
        <w:spacing w:line="560" w:lineRule="exact"/>
        <w:ind w:firstLine="640" w:firstLineChars="200"/>
        <w:rPr>
          <w:rFonts w:hint="default" w:ascii="Times New Roman" w:hAnsi="Times New Roman" w:eastAsia="方正仿宋_GB2312" w:cs="Times New Roman"/>
          <w:color w:val="000000"/>
          <w:sz w:val="32"/>
          <w:szCs w:val="32"/>
        </w:rPr>
      </w:pPr>
      <w:r>
        <w:rPr>
          <w:rFonts w:hint="default" w:ascii="Times New Roman" w:hAnsi="Times New Roman" w:eastAsia="方正仿宋_GB2312" w:cs="Times New Roman"/>
          <w:color w:val="000000"/>
          <w:sz w:val="32"/>
          <w:szCs w:val="32"/>
        </w:rPr>
        <w:t>（2）如学习期间未能完成读书报告者，则可以通过公开性学术汇报获得相应学分。</w:t>
      </w:r>
    </w:p>
    <w:p>
      <w:pPr>
        <w:spacing w:line="560" w:lineRule="exact"/>
        <w:ind w:firstLine="640" w:firstLineChars="200"/>
        <w:rPr>
          <w:rFonts w:hint="default" w:ascii="Times New Roman" w:hAnsi="Times New Roman" w:eastAsia="方正仿宋_GB2312" w:cs="Times New Roman"/>
          <w:color w:val="000000"/>
          <w:sz w:val="32"/>
          <w:szCs w:val="32"/>
        </w:rPr>
      </w:pPr>
      <w:bookmarkStart w:id="16" w:name="_Toc43805972"/>
      <w:r>
        <w:rPr>
          <w:rFonts w:hint="default" w:ascii="Times New Roman" w:hAnsi="Times New Roman" w:eastAsia="方正仿宋_GB2312" w:cs="Times New Roman"/>
          <w:color w:val="000000"/>
          <w:sz w:val="32"/>
          <w:szCs w:val="32"/>
        </w:rPr>
        <w:t>①在校、院、系、实践单位组织的学术会议上作报告（0.5学分/次）；</w:t>
      </w:r>
    </w:p>
    <w:p>
      <w:pPr>
        <w:spacing w:line="560" w:lineRule="exact"/>
        <w:ind w:firstLine="640" w:firstLineChars="200"/>
        <w:rPr>
          <w:rFonts w:hint="default" w:ascii="Times New Roman" w:hAnsi="Times New Roman" w:eastAsia="方正仿宋_GB2312" w:cs="Times New Roman"/>
          <w:color w:val="000000"/>
          <w:sz w:val="32"/>
          <w:szCs w:val="32"/>
        </w:rPr>
      </w:pPr>
      <w:r>
        <w:rPr>
          <w:rFonts w:hint="default" w:ascii="Times New Roman" w:hAnsi="Times New Roman" w:eastAsia="方正仿宋_GB2312" w:cs="Times New Roman"/>
          <w:color w:val="000000"/>
          <w:sz w:val="32"/>
          <w:szCs w:val="32"/>
        </w:rPr>
        <w:t>②</w:t>
      </w:r>
      <w:r>
        <w:rPr>
          <w:rFonts w:hint="default" w:ascii="Times New Roman" w:hAnsi="Times New Roman" w:eastAsia="方正仿宋_GB2312" w:cs="Times New Roman"/>
          <w:sz w:val="32"/>
          <w:szCs w:val="32"/>
        </w:rPr>
        <w:t>在全国性学术会议上作报告</w:t>
      </w:r>
      <w:r>
        <w:rPr>
          <w:rFonts w:hint="default" w:ascii="Times New Roman" w:hAnsi="Times New Roman" w:eastAsia="方正仿宋_GB2312" w:cs="Times New Roman"/>
          <w:color w:val="000000"/>
          <w:sz w:val="32"/>
          <w:szCs w:val="32"/>
        </w:rPr>
        <w:t>（1.0学分/次）；</w:t>
      </w:r>
    </w:p>
    <w:p>
      <w:pPr>
        <w:spacing w:line="560" w:lineRule="exact"/>
        <w:ind w:firstLine="640" w:firstLineChars="200"/>
        <w:rPr>
          <w:rFonts w:hint="default" w:ascii="Times New Roman" w:hAnsi="Times New Roman" w:eastAsia="方正仿宋_GB2312" w:cs="Times New Roman"/>
          <w:color w:val="000000"/>
          <w:sz w:val="32"/>
          <w:szCs w:val="32"/>
        </w:rPr>
      </w:pPr>
      <w:r>
        <w:rPr>
          <w:rFonts w:hint="default" w:ascii="Times New Roman" w:hAnsi="Times New Roman" w:eastAsia="方正仿宋_GB2312" w:cs="Times New Roman"/>
          <w:color w:val="000000"/>
          <w:sz w:val="32"/>
          <w:szCs w:val="32"/>
        </w:rPr>
        <w:t>③</w:t>
      </w:r>
      <w:r>
        <w:rPr>
          <w:rFonts w:hint="default" w:ascii="Times New Roman" w:hAnsi="Times New Roman" w:eastAsia="方正仿宋_GB2312" w:cs="Times New Roman"/>
          <w:sz w:val="32"/>
          <w:szCs w:val="32"/>
        </w:rPr>
        <w:t>在国际学术会议上作报告</w:t>
      </w:r>
      <w:r>
        <w:rPr>
          <w:rFonts w:hint="default" w:ascii="Times New Roman" w:hAnsi="Times New Roman" w:eastAsia="方正仿宋_GB2312" w:cs="Times New Roman"/>
          <w:color w:val="000000"/>
          <w:sz w:val="32"/>
          <w:szCs w:val="32"/>
        </w:rPr>
        <w:t>（2.0学分/次）。</w:t>
      </w:r>
    </w:p>
    <w:p>
      <w:pPr>
        <w:spacing w:line="560" w:lineRule="exact"/>
        <w:ind w:firstLine="640" w:firstLineChars="200"/>
        <w:rPr>
          <w:rFonts w:hint="default" w:ascii="Times New Roman" w:hAnsi="Times New Roman" w:eastAsia="方正仿宋_GB2312" w:cs="Times New Roman"/>
          <w:color w:val="000000"/>
          <w:sz w:val="32"/>
          <w:szCs w:val="32"/>
        </w:rPr>
      </w:pPr>
      <w:r>
        <w:rPr>
          <w:rFonts w:hint="default" w:ascii="Times New Roman" w:hAnsi="Times New Roman" w:eastAsia="方正仿宋_GB2312" w:cs="Times New Roman"/>
          <w:color w:val="000000"/>
          <w:sz w:val="32"/>
          <w:szCs w:val="32"/>
        </w:rPr>
        <w:t>2.学术活动（3学分）</w:t>
      </w:r>
      <w:bookmarkEnd w:id="16"/>
    </w:p>
    <w:p>
      <w:pPr>
        <w:spacing w:line="560" w:lineRule="exact"/>
        <w:ind w:firstLine="640" w:firstLineChars="200"/>
        <w:rPr>
          <w:rFonts w:hint="default" w:ascii="Times New Roman" w:hAnsi="Times New Roman" w:eastAsia="方正仿宋_GB2312" w:cs="Times New Roman"/>
          <w:color w:val="000000"/>
          <w:sz w:val="32"/>
          <w:szCs w:val="32"/>
        </w:rPr>
      </w:pPr>
      <w:r>
        <w:rPr>
          <w:rFonts w:hint="default" w:ascii="Times New Roman" w:hAnsi="Times New Roman" w:eastAsia="方正仿宋_GB2312" w:cs="Times New Roman"/>
          <w:color w:val="000000"/>
          <w:sz w:val="32"/>
          <w:szCs w:val="32"/>
        </w:rPr>
        <w:t>MPH规培生应积极参加与本专业有关的学术活动，以获取更多的科研信息，拓宽知识范围。参加学术活动后，应填写《温州医科大学研究生参加学术报告登记卡》，并由主办单位签字或盖章，提交会议通知、会议议程、参会证、现场照片、汇报的ppt（电子版）等凭证粘贴在佐证材料粘贴处，须在论文评阅前完成。</w:t>
      </w:r>
    </w:p>
    <w:p>
      <w:pPr>
        <w:spacing w:line="560" w:lineRule="exact"/>
        <w:ind w:firstLine="640" w:firstLineChars="200"/>
        <w:rPr>
          <w:rFonts w:hint="default" w:ascii="Times New Roman" w:hAnsi="Times New Roman" w:eastAsia="方正仿宋_GB2312" w:cs="Times New Roman"/>
          <w:color w:val="000000"/>
          <w:sz w:val="32"/>
          <w:szCs w:val="32"/>
        </w:rPr>
      </w:pPr>
      <w:r>
        <w:rPr>
          <w:rFonts w:hint="default" w:ascii="Times New Roman" w:hAnsi="Times New Roman" w:eastAsia="方正仿宋_GB2312" w:cs="Times New Roman"/>
          <w:color w:val="000000"/>
          <w:sz w:val="32"/>
          <w:szCs w:val="32"/>
        </w:rPr>
        <w:t>在申请答辩时，交各所在学院研究生教育管理部门审核、备案。各项学术活动总学分不超过3学分，具体如下：</w:t>
      </w:r>
    </w:p>
    <w:p>
      <w:pPr>
        <w:spacing w:line="560" w:lineRule="exact"/>
        <w:ind w:firstLine="640" w:firstLineChars="200"/>
        <w:rPr>
          <w:rFonts w:hint="default" w:ascii="Times New Roman" w:hAnsi="Times New Roman" w:eastAsia="方正仿宋_GB2312" w:cs="Times New Roman"/>
          <w:color w:val="000000"/>
          <w:sz w:val="32"/>
          <w:szCs w:val="32"/>
        </w:rPr>
      </w:pPr>
      <w:r>
        <w:rPr>
          <w:rFonts w:hint="default" w:ascii="Times New Roman" w:hAnsi="Times New Roman" w:eastAsia="方正仿宋_GB2312" w:cs="Times New Roman"/>
          <w:color w:val="000000"/>
          <w:sz w:val="32"/>
          <w:szCs w:val="32"/>
        </w:rPr>
        <w:t>（1）参加校、院、实践单位组织的学术讲座（0.3学分/次）；</w:t>
      </w:r>
    </w:p>
    <w:p>
      <w:pPr>
        <w:spacing w:line="560" w:lineRule="exact"/>
        <w:ind w:firstLine="640" w:firstLineChars="200"/>
        <w:rPr>
          <w:rFonts w:hint="default" w:ascii="Times New Roman" w:hAnsi="Times New Roman" w:eastAsia="方正仿宋_GB2312" w:cs="Times New Roman"/>
          <w:color w:val="000000"/>
          <w:sz w:val="32"/>
          <w:szCs w:val="32"/>
        </w:rPr>
      </w:pPr>
      <w:r>
        <w:rPr>
          <w:rFonts w:hint="default" w:ascii="Times New Roman" w:hAnsi="Times New Roman" w:eastAsia="方正仿宋_GB2312" w:cs="Times New Roman"/>
          <w:color w:val="000000"/>
          <w:sz w:val="32"/>
          <w:szCs w:val="32"/>
        </w:rPr>
        <w:t>（2）参加全国、地区或国际学术会议（0.5学分/次）；</w:t>
      </w:r>
    </w:p>
    <w:p>
      <w:pPr>
        <w:spacing w:line="560" w:lineRule="exact"/>
        <w:ind w:firstLine="640" w:firstLineChars="200"/>
        <w:rPr>
          <w:rFonts w:hint="default" w:ascii="Times New Roman" w:hAnsi="Times New Roman" w:eastAsia="方正仿宋_GB2312" w:cs="Times New Roman"/>
          <w:color w:val="000000"/>
          <w:sz w:val="32"/>
          <w:szCs w:val="32"/>
        </w:rPr>
      </w:pPr>
      <w:r>
        <w:rPr>
          <w:rFonts w:hint="default" w:ascii="Times New Roman" w:hAnsi="Times New Roman" w:eastAsia="方正仿宋_GB2312" w:cs="Times New Roman"/>
          <w:color w:val="000000"/>
          <w:sz w:val="32"/>
          <w:szCs w:val="32"/>
        </w:rPr>
        <w:t>（3）摘要被全国、地区或国际学术会议接收（1.0学分/次）；</w:t>
      </w:r>
    </w:p>
    <w:p>
      <w:pPr>
        <w:spacing w:line="560" w:lineRule="exact"/>
        <w:ind w:firstLine="640" w:firstLineChars="200"/>
        <w:rPr>
          <w:rFonts w:hint="default" w:ascii="Times New Roman" w:hAnsi="Times New Roman" w:eastAsia="方正仿宋_GB2312" w:cs="Times New Roman"/>
          <w:color w:val="000000"/>
          <w:sz w:val="32"/>
          <w:szCs w:val="32"/>
        </w:rPr>
      </w:pPr>
      <w:r>
        <w:rPr>
          <w:rFonts w:hint="default" w:ascii="Times New Roman" w:hAnsi="Times New Roman" w:eastAsia="方正仿宋_GB2312" w:cs="Times New Roman"/>
          <w:color w:val="000000"/>
          <w:sz w:val="32"/>
          <w:szCs w:val="32"/>
        </w:rPr>
        <w:t>（4）在全国性学术会议的墙报上展示论文（1.5学分/次）；</w:t>
      </w:r>
    </w:p>
    <w:p>
      <w:pPr>
        <w:spacing w:line="560" w:lineRule="exact"/>
        <w:ind w:firstLine="640" w:firstLineChars="200"/>
        <w:rPr>
          <w:rFonts w:hint="default" w:ascii="Times New Roman" w:hAnsi="Times New Roman" w:eastAsia="方正仿宋_GB2312" w:cs="Times New Roman"/>
          <w:color w:val="000000"/>
          <w:sz w:val="32"/>
          <w:szCs w:val="32"/>
        </w:rPr>
      </w:pPr>
      <w:r>
        <w:rPr>
          <w:rFonts w:hint="default" w:ascii="Times New Roman" w:hAnsi="Times New Roman" w:eastAsia="方正仿宋_GB2312" w:cs="Times New Roman"/>
          <w:color w:val="000000"/>
          <w:sz w:val="32"/>
          <w:szCs w:val="32"/>
        </w:rPr>
        <w:t>（5）在国际学术会议的墙报上展示论文（2.0学分/次）</w:t>
      </w:r>
    </w:p>
    <w:p>
      <w:pPr>
        <w:spacing w:line="560" w:lineRule="exact"/>
        <w:ind w:firstLine="640" w:firstLineChars="200"/>
        <w:rPr>
          <w:rFonts w:hint="default" w:ascii="Times New Roman" w:hAnsi="Times New Roman" w:eastAsia="方正楷体_GB2312" w:cs="Times New Roman"/>
          <w:sz w:val="32"/>
          <w:szCs w:val="32"/>
        </w:rPr>
      </w:pPr>
      <w:r>
        <w:rPr>
          <w:rFonts w:hint="default" w:ascii="Times New Roman" w:hAnsi="Times New Roman" w:eastAsia="方正楷体_GB2312" w:cs="Times New Roman"/>
          <w:sz w:val="32"/>
          <w:szCs w:val="32"/>
        </w:rPr>
        <w:t>（六）学位论文（30学分）</w:t>
      </w:r>
    </w:p>
    <w:p>
      <w:pPr>
        <w:widowControl/>
        <w:spacing w:line="560" w:lineRule="exact"/>
        <w:ind w:firstLine="640" w:firstLineChars="200"/>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 xml:space="preserve">1.论文总体要求 </w:t>
      </w:r>
    </w:p>
    <w:p>
      <w:pPr>
        <w:widowControl/>
        <w:spacing w:line="560" w:lineRule="exact"/>
        <w:ind w:firstLine="640" w:firstLineChars="200"/>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（1）学位论文正文字数一般不少于2万字。</w:t>
      </w:r>
    </w:p>
    <w:p>
      <w:pPr>
        <w:widowControl/>
        <w:spacing w:line="560" w:lineRule="exact"/>
        <w:ind w:firstLine="640" w:firstLineChars="200"/>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（2）论文需通过学校组织的论文评阅及答辩。</w:t>
      </w:r>
    </w:p>
    <w:p>
      <w:pPr>
        <w:spacing w:line="560" w:lineRule="exact"/>
        <w:ind w:firstLine="640" w:firstLineChars="200"/>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2.论文水平要求</w:t>
      </w:r>
    </w:p>
    <w:p>
      <w:pPr>
        <w:spacing w:line="560" w:lineRule="exact"/>
        <w:ind w:firstLine="640" w:firstLineChars="200"/>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（1）研究立论科学、数据收集客观、分析方法合理、统计图表规范、讨论分析充分、研究结论明确、引文准确合理；</w:t>
      </w:r>
    </w:p>
    <w:p>
      <w:pPr>
        <w:spacing w:line="560" w:lineRule="exact"/>
        <w:ind w:firstLine="640" w:firstLineChars="200"/>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（2）研究结论应注重实用性及对公共卫生工作的指导意义，体现出一定的应用价值或新见解。</w:t>
      </w:r>
    </w:p>
    <w:p>
      <w:pPr>
        <w:widowControl/>
        <w:spacing w:line="560" w:lineRule="exact"/>
        <w:ind w:firstLine="640" w:firstLineChars="200"/>
        <w:rPr>
          <w:rFonts w:hint="default" w:ascii="Times New Roman" w:hAnsi="Times New Roman" w:eastAsia="方正楷体_GB2312" w:cs="Times New Roman"/>
          <w:sz w:val="32"/>
          <w:szCs w:val="32"/>
        </w:rPr>
      </w:pPr>
      <w:r>
        <w:rPr>
          <w:rFonts w:hint="default" w:ascii="Times New Roman" w:hAnsi="Times New Roman" w:eastAsia="方正楷体_GB2312" w:cs="Times New Roman"/>
          <w:sz w:val="32"/>
          <w:szCs w:val="32"/>
        </w:rPr>
        <w:t>（七）发表论文（10学分）</w:t>
      </w:r>
    </w:p>
    <w:p>
      <w:pPr>
        <w:widowControl/>
        <w:spacing w:line="560" w:lineRule="exact"/>
        <w:ind w:firstLine="640" w:firstLineChars="200"/>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硕士生发表符合规定要求的论文获得10学分，要求详见《温州医科大学关于研究生申请学位发表论文的规定》。</w:t>
      </w:r>
    </w:p>
    <w:p>
      <w:pPr>
        <w:widowControl/>
        <w:spacing w:line="560" w:lineRule="exact"/>
        <w:ind w:firstLine="640" w:firstLineChars="200"/>
        <w:rPr>
          <w:rFonts w:hint="default" w:ascii="Times New Roman" w:hAnsi="Times New Roman" w:eastAsia="黑体" w:cs="Times New Roman"/>
          <w:bCs/>
          <w:sz w:val="32"/>
          <w:szCs w:val="32"/>
        </w:rPr>
      </w:pPr>
      <w:bookmarkStart w:id="17" w:name="_Toc518995450"/>
      <w:r>
        <w:rPr>
          <w:rFonts w:hint="default" w:ascii="Times New Roman" w:hAnsi="Times New Roman" w:eastAsia="黑体" w:cs="Times New Roman"/>
          <w:bCs/>
          <w:sz w:val="32"/>
          <w:szCs w:val="32"/>
        </w:rPr>
        <w:t>五、硕士学位论文</w:t>
      </w:r>
      <w:bookmarkEnd w:id="17"/>
    </w:p>
    <w:p>
      <w:pPr>
        <w:widowControl/>
        <w:spacing w:line="560" w:lineRule="exact"/>
        <w:ind w:firstLine="640" w:firstLineChars="200"/>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硕士生应在导师指导下独立完成学位论文工作。为保证学位论文质量，对论文工作加强过程管理，严格执行论文开题报告、工作阶段报告和学位论文预答辩制度。</w:t>
      </w:r>
    </w:p>
    <w:p>
      <w:pPr>
        <w:spacing w:line="560" w:lineRule="exact"/>
        <w:ind w:firstLine="640" w:firstLineChars="200"/>
        <w:rPr>
          <w:rFonts w:hint="default" w:ascii="Times New Roman" w:hAnsi="Times New Roman" w:eastAsia="方正楷体_GB2312" w:cs="Times New Roman"/>
          <w:sz w:val="32"/>
          <w:szCs w:val="32"/>
        </w:rPr>
      </w:pPr>
      <w:bookmarkStart w:id="18" w:name="_Toc518995451"/>
      <w:r>
        <w:rPr>
          <w:rFonts w:hint="default" w:ascii="Times New Roman" w:hAnsi="Times New Roman" w:eastAsia="方正楷体_GB2312" w:cs="Times New Roman"/>
          <w:sz w:val="32"/>
          <w:szCs w:val="32"/>
        </w:rPr>
        <w:t>（一）选题</w:t>
      </w:r>
      <w:bookmarkEnd w:id="18"/>
    </w:p>
    <w:p>
      <w:pPr>
        <w:widowControl/>
        <w:spacing w:line="560" w:lineRule="exact"/>
        <w:ind w:firstLine="640" w:firstLineChars="200"/>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硕士生在导师指导下，通过查阅收集有关文献资料，调查及预实验研究等，进行论文选题。选题的基本原则是：</w:t>
      </w:r>
    </w:p>
    <w:p>
      <w:pPr>
        <w:widowControl/>
        <w:spacing w:line="560" w:lineRule="exact"/>
        <w:ind w:firstLine="640" w:firstLineChars="200"/>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1.选题应紧密结合公共卫生相关领域工作的实际需要，能够体现综合运用所学专业或相关专业的理论、方法和技术，分析和解决实际问题；</w:t>
      </w:r>
    </w:p>
    <w:p>
      <w:pPr>
        <w:widowControl/>
        <w:spacing w:line="560" w:lineRule="exact"/>
        <w:ind w:firstLine="640" w:firstLineChars="200"/>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2.选题可以是对某些亟待解决的社区公共卫生与预防医学、卫生管理或政策制定等方面的问题进行调查研究，在制订、设计解决方案，收集资料，在现场实践的基础上，对存在的问题进行分析，并提出对策。</w:t>
      </w:r>
    </w:p>
    <w:p>
      <w:pPr>
        <w:widowControl/>
        <w:spacing w:line="560" w:lineRule="exact"/>
        <w:ind w:firstLine="640" w:firstLineChars="200"/>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3.选题一般应在本学科或导师的研究方向范围内，突出课题的实际意义和应用价值，最好能充分利用本专业的优势。</w:t>
      </w:r>
    </w:p>
    <w:p>
      <w:pPr>
        <w:widowControl/>
        <w:spacing w:line="560" w:lineRule="exact"/>
        <w:ind w:firstLine="640" w:firstLineChars="200"/>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4.选题应比前人的工作有所发展，能够提出新观点或新方法，而不是重复前人的工作，应在自己的选题范围内做查新工作。</w:t>
      </w:r>
    </w:p>
    <w:p>
      <w:pPr>
        <w:widowControl/>
        <w:spacing w:line="560" w:lineRule="exact"/>
        <w:ind w:firstLine="640" w:firstLineChars="200"/>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5.选题还要从研究条件和时间方面考虑，并且应注意到课题所需要的仪器设备、研究材料和经费是否具备；能否在预定的时间内完成。</w:t>
      </w:r>
    </w:p>
    <w:p>
      <w:pPr>
        <w:spacing w:line="560" w:lineRule="exact"/>
        <w:ind w:firstLine="640" w:firstLineChars="200"/>
        <w:rPr>
          <w:rFonts w:hint="default" w:ascii="Times New Roman" w:hAnsi="Times New Roman" w:eastAsia="方正楷体_GB2312" w:cs="Times New Roman"/>
          <w:sz w:val="32"/>
          <w:szCs w:val="32"/>
        </w:rPr>
      </w:pPr>
      <w:bookmarkStart w:id="19" w:name="_Toc518995452"/>
      <w:r>
        <w:rPr>
          <w:rFonts w:hint="default" w:ascii="Times New Roman" w:hAnsi="Times New Roman" w:eastAsia="方正楷体_GB2312" w:cs="Times New Roman"/>
          <w:sz w:val="32"/>
          <w:szCs w:val="32"/>
        </w:rPr>
        <w:t>（二）开题报告</w:t>
      </w:r>
      <w:bookmarkEnd w:id="19"/>
    </w:p>
    <w:p>
      <w:pPr>
        <w:widowControl/>
        <w:spacing w:line="560" w:lineRule="exact"/>
        <w:ind w:firstLine="640"/>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研究生在确定选题后，应写出文献综述，并提出学位论文开题报告。开题报告结合中期考核在教研室（研究室）或适当范围内进行，由研究生汇报其选题依据和研究工作计划；考核小组成员对研究生选题的先进性、实用性进行评价，研究生据此再作进一步的修改和补充。</w:t>
      </w:r>
    </w:p>
    <w:p>
      <w:pPr>
        <w:spacing w:line="560" w:lineRule="exact"/>
        <w:ind w:firstLine="640" w:firstLineChars="200"/>
        <w:rPr>
          <w:rFonts w:hint="default" w:ascii="Times New Roman" w:hAnsi="Times New Roman" w:eastAsia="方正楷体_GB2312" w:cs="Times New Roman"/>
          <w:sz w:val="32"/>
          <w:szCs w:val="32"/>
        </w:rPr>
      </w:pPr>
      <w:bookmarkStart w:id="20" w:name="_Toc518995453"/>
      <w:r>
        <w:rPr>
          <w:rFonts w:hint="default" w:ascii="Times New Roman" w:hAnsi="Times New Roman" w:eastAsia="方正楷体_GB2312" w:cs="Times New Roman"/>
          <w:sz w:val="32"/>
          <w:szCs w:val="32"/>
        </w:rPr>
        <w:t>（三）论文工作阶段报告</w:t>
      </w:r>
      <w:bookmarkEnd w:id="20"/>
    </w:p>
    <w:p>
      <w:pPr>
        <w:widowControl/>
        <w:spacing w:line="560" w:lineRule="exact"/>
        <w:ind w:firstLine="640" w:firstLineChars="200"/>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1.论文工作中期报告</w:t>
      </w:r>
    </w:p>
    <w:p>
      <w:pPr>
        <w:widowControl/>
        <w:spacing w:line="560" w:lineRule="exact"/>
        <w:ind w:firstLine="640" w:firstLineChars="200"/>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论文进行中按计划由研究生不定期做论文阶段报告，汇报论文进展情况，听取意见，修订计划，完善论文工作。中期报告由导师组织。研究生论文工作要有原始科研记录。</w:t>
      </w:r>
    </w:p>
    <w:p>
      <w:pPr>
        <w:widowControl/>
        <w:spacing w:line="560" w:lineRule="exact"/>
        <w:ind w:firstLine="640" w:firstLineChars="200"/>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2.论文工作结束报告</w:t>
      </w:r>
    </w:p>
    <w:p>
      <w:pPr>
        <w:widowControl/>
        <w:spacing w:line="560" w:lineRule="exact"/>
        <w:ind w:firstLine="640" w:firstLineChars="200"/>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论文研究工作完成，在正式撰写论文前，硕士生应将研究结果进行汇报，导师小组成员对研究结果的可靠性、完整性、科学性进行评论，提出是否需要进一步补充和完善等意见，并对论文撰写提出建议，以保证硕士生的学位论文质量。</w:t>
      </w:r>
    </w:p>
    <w:p>
      <w:pPr>
        <w:spacing w:line="560" w:lineRule="exact"/>
        <w:ind w:firstLine="640" w:firstLineChars="200"/>
        <w:rPr>
          <w:rFonts w:hint="default" w:ascii="Times New Roman" w:hAnsi="Times New Roman" w:eastAsia="方正楷体_GB2312" w:cs="Times New Roman"/>
          <w:sz w:val="32"/>
          <w:szCs w:val="32"/>
        </w:rPr>
      </w:pPr>
      <w:bookmarkStart w:id="21" w:name="_Toc518995454"/>
      <w:r>
        <w:rPr>
          <w:rFonts w:hint="default" w:ascii="Times New Roman" w:hAnsi="Times New Roman" w:eastAsia="方正楷体_GB2312" w:cs="Times New Roman"/>
          <w:sz w:val="32"/>
          <w:szCs w:val="32"/>
        </w:rPr>
        <w:t>（四）硕士生学位论文要求</w:t>
      </w:r>
      <w:bookmarkEnd w:id="21"/>
    </w:p>
    <w:p>
      <w:pPr>
        <w:widowControl/>
        <w:spacing w:line="560" w:lineRule="exact"/>
        <w:ind w:firstLine="640" w:firstLineChars="200"/>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具体见《温州医科大学硕士专业学位论文基本要求》和《温州医科大学研究生学位论文编排及打印格式要求》等文件。</w:t>
      </w:r>
    </w:p>
    <w:p>
      <w:pPr>
        <w:spacing w:line="560" w:lineRule="exact"/>
        <w:ind w:firstLine="640" w:firstLineChars="200"/>
        <w:rPr>
          <w:rFonts w:hint="default" w:ascii="Times New Roman" w:hAnsi="Times New Roman" w:eastAsia="方正楷体_GB2312" w:cs="Times New Roman"/>
          <w:sz w:val="32"/>
          <w:szCs w:val="32"/>
        </w:rPr>
      </w:pPr>
      <w:bookmarkStart w:id="22" w:name="_Toc518995455"/>
      <w:r>
        <w:rPr>
          <w:rFonts w:hint="default" w:ascii="Times New Roman" w:hAnsi="Times New Roman" w:eastAsia="方正楷体_GB2312" w:cs="Times New Roman"/>
          <w:sz w:val="32"/>
          <w:szCs w:val="32"/>
        </w:rPr>
        <w:t>（五）学位论文评阅与答辩</w:t>
      </w:r>
      <w:bookmarkEnd w:id="22"/>
    </w:p>
    <w:p>
      <w:pPr>
        <w:widowControl/>
        <w:spacing w:line="560" w:lineRule="exact"/>
        <w:ind w:firstLine="640" w:firstLineChars="200"/>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硕士生完成学位论文工作及本专业培养方案规定的各项要求后，经导师审核同意，可申请学位论文评阅。学位论文评阅由研究生院组织一年两次。学位论文通过评阅后，由导师安排预答辩。通过预答辩后，方可申请答辩，答辩工作由导师组或所在院系组织。</w:t>
      </w:r>
    </w:p>
    <w:p>
      <w:pPr>
        <w:widowControl/>
        <w:spacing w:line="560" w:lineRule="exact"/>
        <w:ind w:firstLine="640" w:firstLineChars="200"/>
        <w:rPr>
          <w:rFonts w:hint="default" w:ascii="Times New Roman" w:hAnsi="Times New Roman" w:eastAsia="黑体" w:cs="Times New Roman"/>
          <w:bCs/>
          <w:sz w:val="32"/>
          <w:szCs w:val="32"/>
        </w:rPr>
      </w:pPr>
      <w:bookmarkStart w:id="23" w:name="_Toc518995458"/>
      <w:r>
        <w:rPr>
          <w:rFonts w:hint="default" w:ascii="Times New Roman" w:hAnsi="Times New Roman" w:eastAsia="黑体" w:cs="Times New Roman"/>
          <w:bCs/>
          <w:sz w:val="32"/>
          <w:szCs w:val="32"/>
        </w:rPr>
        <w:t>六、学位授予</w:t>
      </w:r>
      <w:bookmarkEnd w:id="23"/>
    </w:p>
    <w:p>
      <w:pPr>
        <w:spacing w:line="560" w:lineRule="exact"/>
        <w:ind w:firstLine="640" w:firstLineChars="200"/>
        <w:rPr>
          <w:rFonts w:hint="default" w:ascii="Times New Roman" w:hAnsi="Times New Roman" w:eastAsia="方正楷体_GB2312" w:cs="Times New Roman"/>
          <w:sz w:val="32"/>
          <w:szCs w:val="32"/>
        </w:rPr>
      </w:pPr>
      <w:r>
        <w:rPr>
          <w:rFonts w:hint="default" w:ascii="Times New Roman" w:hAnsi="Times New Roman" w:eastAsia="方正楷体_GB2312" w:cs="Times New Roman"/>
          <w:sz w:val="32"/>
          <w:szCs w:val="32"/>
        </w:rPr>
        <w:t>（一）学位申请</w:t>
      </w:r>
    </w:p>
    <w:p>
      <w:pPr>
        <w:widowControl/>
        <w:spacing w:line="560" w:lineRule="exact"/>
        <w:ind w:firstLine="640" w:firstLineChars="200"/>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硕士生完成课程学习，成绩合格且所有课程加权平均成绩必须达75分以上（含75分），通过开题及中期考核，完成规定的实践技能训练并通过考核，通过学位论文评阅及答辩，具有符合申请专业型硕士研究生学位的学术成果，学位英语通过，达到公共卫生硕士专业学位授予条件者，可申请硕士学位。</w:t>
      </w:r>
    </w:p>
    <w:p>
      <w:pPr>
        <w:spacing w:line="560" w:lineRule="exact"/>
        <w:ind w:firstLine="640" w:firstLineChars="200"/>
        <w:rPr>
          <w:rFonts w:hint="default" w:ascii="Times New Roman" w:hAnsi="Times New Roman" w:eastAsia="方正楷体_GB2312" w:cs="Times New Roman"/>
          <w:sz w:val="32"/>
          <w:szCs w:val="32"/>
        </w:rPr>
      </w:pPr>
      <w:r>
        <w:rPr>
          <w:rFonts w:hint="default" w:ascii="Times New Roman" w:hAnsi="Times New Roman" w:eastAsia="方正楷体_GB2312" w:cs="Times New Roman"/>
          <w:sz w:val="32"/>
          <w:szCs w:val="32"/>
        </w:rPr>
        <w:t>（二）学位授予</w:t>
      </w:r>
    </w:p>
    <w:p>
      <w:pPr>
        <w:widowControl/>
        <w:spacing w:line="560" w:lineRule="exact"/>
        <w:ind w:firstLine="640" w:firstLineChars="200"/>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学位授予按照国家及学校学位授予条例进行。</w:t>
      </w:r>
    </w:p>
    <w:p>
      <w:pPr>
        <w:widowControl/>
        <w:spacing w:line="560" w:lineRule="exact"/>
        <w:ind w:firstLine="640" w:firstLineChars="200"/>
        <w:rPr>
          <w:rFonts w:hint="default" w:ascii="Times New Roman" w:hAnsi="Times New Roman" w:cs="Times New Roman"/>
          <w:sz w:val="32"/>
          <w:szCs w:val="32"/>
        </w:rPr>
      </w:pPr>
      <w:bookmarkStart w:id="24" w:name="_Toc271183705"/>
      <w:r>
        <w:rPr>
          <w:rFonts w:hint="default" w:ascii="Times New Roman" w:hAnsi="Times New Roman" w:eastAsia="黑体" w:cs="Times New Roman"/>
          <w:bCs/>
          <w:sz w:val="32"/>
          <w:szCs w:val="32"/>
        </w:rPr>
        <w:t>七、本培养方案自2022级硕士生开始实行，由研究生院和公共卫生与管理学院共同负责解释。</w:t>
      </w:r>
      <w:bookmarkEnd w:id="24"/>
    </w:p>
    <w:p>
      <w:pPr>
        <w:rPr>
          <w:rFonts w:hint="eastAsia" w:eastAsia="黑体" w:cs="黑体"/>
          <w:b w:val="0"/>
          <w:kern w:val="2"/>
          <w:sz w:val="32"/>
          <w:szCs w:val="32"/>
        </w:rPr>
      </w:pPr>
      <w:r>
        <w:rPr>
          <w:rFonts w:hint="eastAsia" w:eastAsia="黑体" w:cs="黑体"/>
          <w:b w:val="0"/>
          <w:kern w:val="2"/>
          <w:sz w:val="32"/>
          <w:szCs w:val="32"/>
        </w:rPr>
        <w:br w:type="page"/>
      </w:r>
    </w:p>
    <w:p>
      <w:pPr>
        <w:pStyle w:val="2"/>
        <w:spacing w:line="560" w:lineRule="exact"/>
        <w:rPr>
          <w:rFonts w:hint="eastAsia" w:eastAsia="黑体" w:cs="黑体"/>
          <w:b w:val="0"/>
          <w:kern w:val="2"/>
          <w:sz w:val="32"/>
          <w:szCs w:val="32"/>
        </w:rPr>
      </w:pPr>
      <w:r>
        <w:rPr>
          <w:rFonts w:hint="eastAsia" w:eastAsia="黑体" w:cs="黑体"/>
          <w:b w:val="0"/>
          <w:kern w:val="2"/>
          <w:sz w:val="32"/>
          <w:szCs w:val="32"/>
        </w:rPr>
        <w:t>附件：1.课程设置</w:t>
      </w:r>
    </w:p>
    <w:p>
      <w:pPr>
        <w:spacing w:before="156" w:beforeLines="50" w:after="156" w:afterLines="50" w:line="420" w:lineRule="exact"/>
        <w:ind w:firstLine="643" w:firstLineChars="200"/>
        <w:jc w:val="center"/>
        <w:rPr>
          <w:rFonts w:hint="eastAsia" w:ascii="楷体_GB2312" w:hAnsi="楷体_GB2312" w:eastAsia="楷体_GB2312" w:cs="楷体_GB2312"/>
          <w:b/>
          <w:sz w:val="32"/>
          <w:szCs w:val="32"/>
        </w:rPr>
      </w:pPr>
      <w:r>
        <w:rPr>
          <w:rFonts w:hint="eastAsia" w:ascii="楷体_GB2312" w:hAnsi="楷体_GB2312" w:eastAsia="楷体_GB2312" w:cs="楷体_GB2312"/>
          <w:b/>
          <w:sz w:val="32"/>
          <w:szCs w:val="32"/>
          <w:u w:val="single"/>
          <w:lang w:val="en-US" w:eastAsia="zh-CN"/>
        </w:rPr>
        <w:t>公共卫生</w:t>
      </w:r>
      <w:r>
        <w:rPr>
          <w:rFonts w:hint="eastAsia" w:ascii="楷体_GB2312" w:hAnsi="楷体_GB2312" w:eastAsia="楷体_GB2312" w:cs="楷体_GB2312"/>
          <w:b/>
          <w:sz w:val="32"/>
          <w:szCs w:val="32"/>
          <w:lang w:val="en-US" w:eastAsia="zh-CN"/>
        </w:rPr>
        <w:t>专业</w:t>
      </w:r>
      <w:r>
        <w:rPr>
          <w:rFonts w:hint="eastAsia" w:ascii="楷体_GB2312" w:hAnsi="楷体_GB2312" w:eastAsia="楷体_GB2312" w:cs="楷体_GB2312"/>
          <w:b/>
          <w:sz w:val="32"/>
          <w:szCs w:val="32"/>
        </w:rPr>
        <w:t>学位硕士研究生课程设置</w:t>
      </w:r>
    </w:p>
    <w:p/>
    <w:tbl>
      <w:tblPr>
        <w:tblStyle w:val="12"/>
        <w:tblW w:w="88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3"/>
        <w:gridCol w:w="2089"/>
        <w:gridCol w:w="2491"/>
        <w:gridCol w:w="854"/>
        <w:gridCol w:w="1070"/>
        <w:gridCol w:w="7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1563" w:type="dxa"/>
            <w:vAlign w:val="center"/>
          </w:tcPr>
          <w:p>
            <w:pPr>
              <w:spacing w:line="240" w:lineRule="auto"/>
              <w:jc w:val="center"/>
              <w:rPr>
                <w:rFonts w:eastAsia="方正仿宋_GB2312" w:cs="方正仿宋_GB2312"/>
                <w:b/>
                <w:bCs/>
                <w:szCs w:val="21"/>
              </w:rPr>
            </w:pPr>
            <w:r>
              <w:rPr>
                <w:rFonts w:hint="eastAsia" w:eastAsia="方正仿宋_GB2312" w:cs="方正仿宋_GB2312"/>
                <w:b/>
                <w:bCs/>
                <w:szCs w:val="21"/>
              </w:rPr>
              <w:t>类别</w:t>
            </w:r>
          </w:p>
        </w:tc>
        <w:tc>
          <w:tcPr>
            <w:tcW w:w="2089" w:type="dxa"/>
            <w:vAlign w:val="center"/>
          </w:tcPr>
          <w:p>
            <w:pPr>
              <w:spacing w:line="240" w:lineRule="auto"/>
              <w:jc w:val="center"/>
              <w:rPr>
                <w:rFonts w:eastAsia="方正仿宋_GB2312" w:cs="方正仿宋_GB2312"/>
                <w:b/>
                <w:bCs/>
                <w:szCs w:val="21"/>
              </w:rPr>
            </w:pPr>
            <w:r>
              <w:rPr>
                <w:rFonts w:hint="eastAsia" w:eastAsia="方正仿宋_GB2312" w:cs="方正仿宋_GB2312"/>
                <w:b/>
                <w:bCs/>
                <w:szCs w:val="21"/>
              </w:rPr>
              <w:t>课程性质</w:t>
            </w:r>
          </w:p>
        </w:tc>
        <w:tc>
          <w:tcPr>
            <w:tcW w:w="2491" w:type="dxa"/>
            <w:vAlign w:val="center"/>
          </w:tcPr>
          <w:p>
            <w:pPr>
              <w:spacing w:line="240" w:lineRule="auto"/>
              <w:jc w:val="center"/>
              <w:rPr>
                <w:rFonts w:eastAsia="方正仿宋_GB2312" w:cs="方正仿宋_GB2312"/>
                <w:b/>
                <w:bCs/>
                <w:szCs w:val="21"/>
              </w:rPr>
            </w:pPr>
            <w:r>
              <w:rPr>
                <w:rFonts w:hint="eastAsia" w:eastAsia="方正仿宋_GB2312" w:cs="方正仿宋_GB2312"/>
                <w:b/>
                <w:bCs/>
                <w:szCs w:val="21"/>
              </w:rPr>
              <w:t>课程名称</w:t>
            </w:r>
          </w:p>
        </w:tc>
        <w:tc>
          <w:tcPr>
            <w:tcW w:w="854" w:type="dxa"/>
            <w:vAlign w:val="center"/>
          </w:tcPr>
          <w:p>
            <w:pPr>
              <w:spacing w:line="240" w:lineRule="auto"/>
              <w:jc w:val="center"/>
              <w:rPr>
                <w:rFonts w:eastAsia="方正仿宋_GB2312" w:cs="方正仿宋_GB2312"/>
                <w:b/>
                <w:bCs/>
                <w:szCs w:val="21"/>
              </w:rPr>
            </w:pPr>
            <w:r>
              <w:rPr>
                <w:rFonts w:hint="eastAsia" w:eastAsia="方正仿宋_GB2312" w:cs="方正仿宋_GB2312"/>
                <w:b/>
                <w:bCs/>
                <w:szCs w:val="21"/>
              </w:rPr>
              <w:t>学分</w:t>
            </w:r>
          </w:p>
        </w:tc>
        <w:tc>
          <w:tcPr>
            <w:tcW w:w="1070" w:type="dxa"/>
            <w:vAlign w:val="center"/>
          </w:tcPr>
          <w:p>
            <w:pPr>
              <w:spacing w:line="240" w:lineRule="auto"/>
              <w:jc w:val="center"/>
              <w:rPr>
                <w:rFonts w:eastAsia="方正仿宋_GB2312" w:cs="方正仿宋_GB2312"/>
                <w:b/>
                <w:bCs/>
                <w:szCs w:val="21"/>
              </w:rPr>
            </w:pPr>
            <w:r>
              <w:rPr>
                <w:rFonts w:hint="eastAsia" w:eastAsia="方正仿宋_GB2312" w:cs="方正仿宋_GB2312"/>
                <w:b/>
                <w:bCs/>
                <w:szCs w:val="21"/>
              </w:rPr>
              <w:t>学时数</w:t>
            </w:r>
          </w:p>
        </w:tc>
        <w:tc>
          <w:tcPr>
            <w:tcW w:w="750" w:type="dxa"/>
            <w:vAlign w:val="center"/>
          </w:tcPr>
          <w:p>
            <w:pPr>
              <w:spacing w:line="240" w:lineRule="auto"/>
              <w:jc w:val="center"/>
              <w:rPr>
                <w:rFonts w:eastAsia="方正仿宋_GB2312" w:cs="方正仿宋_GB2312"/>
                <w:b/>
                <w:bCs/>
                <w:szCs w:val="21"/>
              </w:rPr>
            </w:pPr>
            <w:r>
              <w:rPr>
                <w:rFonts w:hint="eastAsia" w:eastAsia="方正仿宋_GB2312" w:cs="方正仿宋_GB2312"/>
                <w:b/>
                <w:bCs/>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trPr>
        <w:tc>
          <w:tcPr>
            <w:tcW w:w="1563" w:type="dxa"/>
            <w:vMerge w:val="restart"/>
            <w:vAlign w:val="center"/>
          </w:tcPr>
          <w:p>
            <w:pPr>
              <w:spacing w:line="240" w:lineRule="auto"/>
              <w:jc w:val="center"/>
              <w:rPr>
                <w:rFonts w:hint="eastAsia" w:eastAsia="方正仿宋_GB2312" w:cs="方正仿宋_GB2312"/>
                <w:szCs w:val="21"/>
              </w:rPr>
            </w:pPr>
            <w:r>
              <w:rPr>
                <w:rFonts w:hint="eastAsia" w:eastAsia="方正仿宋_GB2312" w:cs="方正仿宋_GB2312"/>
                <w:szCs w:val="21"/>
              </w:rPr>
              <w:t>公共必修课</w:t>
            </w:r>
          </w:p>
          <w:p>
            <w:pPr>
              <w:spacing w:line="240" w:lineRule="auto"/>
              <w:jc w:val="center"/>
              <w:rPr>
                <w:rFonts w:eastAsia="方正仿宋_GB2312" w:cs="方正仿宋_GB2312"/>
                <w:szCs w:val="21"/>
              </w:rPr>
            </w:pPr>
            <w:r>
              <w:rPr>
                <w:rFonts w:hint="eastAsia" w:eastAsia="方正仿宋_GB2312" w:cs="方正仿宋_GB2312"/>
                <w:szCs w:val="21"/>
              </w:rPr>
              <w:t>（6学分）</w:t>
            </w:r>
          </w:p>
        </w:tc>
        <w:tc>
          <w:tcPr>
            <w:tcW w:w="2089" w:type="dxa"/>
            <w:vMerge w:val="restart"/>
            <w:vAlign w:val="center"/>
          </w:tcPr>
          <w:p>
            <w:pPr>
              <w:spacing w:line="240" w:lineRule="auto"/>
              <w:rPr>
                <w:rFonts w:hint="eastAsia" w:eastAsia="方正仿宋_GB2312" w:cs="方正仿宋_GB2312"/>
                <w:szCs w:val="21"/>
                <w:lang w:eastAsia="zh-CN"/>
              </w:rPr>
            </w:pPr>
            <w:r>
              <w:rPr>
                <w:rFonts w:hint="eastAsia" w:eastAsia="方正仿宋_GB2312" w:cs="方正仿宋_GB2312"/>
                <w:color w:val="231F20"/>
                <w:szCs w:val="21"/>
              </w:rPr>
              <w:t>公共必修课程</w:t>
            </w:r>
          </w:p>
        </w:tc>
        <w:tc>
          <w:tcPr>
            <w:tcW w:w="2491" w:type="dxa"/>
            <w:vAlign w:val="center"/>
          </w:tcPr>
          <w:p>
            <w:pPr>
              <w:spacing w:line="240" w:lineRule="auto"/>
              <w:rPr>
                <w:rFonts w:eastAsia="方正仿宋_GB2312" w:cs="方正仿宋_GB2312"/>
                <w:szCs w:val="21"/>
              </w:rPr>
            </w:pPr>
            <w:r>
              <w:rPr>
                <w:rFonts w:hint="eastAsia" w:eastAsia="方正仿宋_GB2312" w:cs="方正仿宋_GB2312"/>
                <w:szCs w:val="21"/>
              </w:rPr>
              <w:t>中国特色社会主义理论与实践研究</w:t>
            </w:r>
          </w:p>
        </w:tc>
        <w:tc>
          <w:tcPr>
            <w:tcW w:w="854" w:type="dxa"/>
            <w:vAlign w:val="center"/>
          </w:tcPr>
          <w:p>
            <w:pPr>
              <w:spacing w:line="240" w:lineRule="auto"/>
              <w:jc w:val="center"/>
              <w:rPr>
                <w:rFonts w:eastAsia="方正仿宋_GB2312" w:cs="方正仿宋_GB2312"/>
                <w:szCs w:val="21"/>
              </w:rPr>
            </w:pPr>
            <w:r>
              <w:rPr>
                <w:rFonts w:eastAsia="方正仿宋_GB2312" w:cs="方正仿宋_GB2312"/>
                <w:szCs w:val="21"/>
              </w:rPr>
              <w:t>2</w:t>
            </w:r>
          </w:p>
        </w:tc>
        <w:tc>
          <w:tcPr>
            <w:tcW w:w="1070" w:type="dxa"/>
            <w:vAlign w:val="center"/>
          </w:tcPr>
          <w:p>
            <w:pPr>
              <w:spacing w:line="240" w:lineRule="auto"/>
              <w:jc w:val="center"/>
              <w:rPr>
                <w:rFonts w:eastAsia="方正仿宋_GB2312" w:cs="方正仿宋_GB2312"/>
                <w:szCs w:val="21"/>
              </w:rPr>
            </w:pPr>
            <w:r>
              <w:rPr>
                <w:rFonts w:eastAsia="方正仿宋_GB2312" w:cs="方正仿宋_GB2312"/>
                <w:szCs w:val="21"/>
              </w:rPr>
              <w:t>36</w:t>
            </w:r>
          </w:p>
        </w:tc>
        <w:tc>
          <w:tcPr>
            <w:tcW w:w="750" w:type="dxa"/>
            <w:vMerge w:val="restart"/>
            <w:vAlign w:val="center"/>
          </w:tcPr>
          <w:p>
            <w:pPr>
              <w:spacing w:line="240" w:lineRule="auto"/>
              <w:jc w:val="center"/>
              <w:rPr>
                <w:rFonts w:eastAsia="方正仿宋_GB2312" w:cs="方正仿宋_GB2312"/>
                <w:szCs w:val="21"/>
              </w:rPr>
            </w:pPr>
            <w:r>
              <w:rPr>
                <w:rFonts w:hint="eastAsia" w:eastAsia="方正仿宋_GB2312" w:cs="方正仿宋_GB2312"/>
                <w:szCs w:val="21"/>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2" w:hRule="atLeast"/>
        </w:trPr>
        <w:tc>
          <w:tcPr>
            <w:tcW w:w="1563" w:type="dxa"/>
            <w:vMerge w:val="continue"/>
            <w:vAlign w:val="center"/>
          </w:tcPr>
          <w:p>
            <w:pPr>
              <w:spacing w:line="240" w:lineRule="auto"/>
              <w:jc w:val="center"/>
              <w:rPr>
                <w:rFonts w:eastAsia="方正仿宋_GB2312" w:cs="方正仿宋_GB2312"/>
                <w:szCs w:val="21"/>
              </w:rPr>
            </w:pPr>
          </w:p>
        </w:tc>
        <w:tc>
          <w:tcPr>
            <w:tcW w:w="2089" w:type="dxa"/>
            <w:vMerge w:val="continue"/>
            <w:vAlign w:val="center"/>
          </w:tcPr>
          <w:p>
            <w:pPr>
              <w:spacing w:line="240" w:lineRule="auto"/>
              <w:rPr>
                <w:rFonts w:eastAsia="方正仿宋_GB2312" w:cs="方正仿宋_GB2312"/>
                <w:szCs w:val="21"/>
              </w:rPr>
            </w:pPr>
          </w:p>
        </w:tc>
        <w:tc>
          <w:tcPr>
            <w:tcW w:w="2491" w:type="dxa"/>
            <w:vAlign w:val="center"/>
          </w:tcPr>
          <w:p>
            <w:pPr>
              <w:spacing w:line="240" w:lineRule="auto"/>
              <w:rPr>
                <w:rFonts w:eastAsia="方正仿宋_GB2312" w:cs="方正仿宋_GB2312"/>
                <w:szCs w:val="21"/>
              </w:rPr>
            </w:pPr>
            <w:r>
              <w:rPr>
                <w:rFonts w:hint="eastAsia" w:eastAsia="方正仿宋_GB2312" w:cs="方正仿宋_GB2312"/>
                <w:szCs w:val="21"/>
              </w:rPr>
              <w:t>自然辩证法概论</w:t>
            </w:r>
          </w:p>
        </w:tc>
        <w:tc>
          <w:tcPr>
            <w:tcW w:w="854" w:type="dxa"/>
            <w:vAlign w:val="center"/>
          </w:tcPr>
          <w:p>
            <w:pPr>
              <w:spacing w:line="240" w:lineRule="auto"/>
              <w:jc w:val="center"/>
              <w:rPr>
                <w:rFonts w:eastAsia="方正仿宋_GB2312" w:cs="方正仿宋_GB2312"/>
                <w:szCs w:val="21"/>
              </w:rPr>
            </w:pPr>
            <w:r>
              <w:rPr>
                <w:rFonts w:eastAsia="方正仿宋_GB2312" w:cs="方正仿宋_GB2312"/>
                <w:szCs w:val="21"/>
              </w:rPr>
              <w:t>1</w:t>
            </w:r>
          </w:p>
        </w:tc>
        <w:tc>
          <w:tcPr>
            <w:tcW w:w="1070" w:type="dxa"/>
            <w:vAlign w:val="center"/>
          </w:tcPr>
          <w:p>
            <w:pPr>
              <w:spacing w:line="240" w:lineRule="auto"/>
              <w:jc w:val="center"/>
              <w:rPr>
                <w:rFonts w:eastAsia="方正仿宋_GB2312" w:cs="方正仿宋_GB2312"/>
                <w:szCs w:val="21"/>
              </w:rPr>
            </w:pPr>
            <w:r>
              <w:rPr>
                <w:rFonts w:eastAsia="方正仿宋_GB2312" w:cs="方正仿宋_GB2312"/>
                <w:szCs w:val="21"/>
              </w:rPr>
              <w:t>18</w:t>
            </w:r>
          </w:p>
        </w:tc>
        <w:tc>
          <w:tcPr>
            <w:tcW w:w="750" w:type="dxa"/>
            <w:vMerge w:val="continue"/>
            <w:vAlign w:val="center"/>
          </w:tcPr>
          <w:p>
            <w:pPr>
              <w:spacing w:line="240" w:lineRule="auto"/>
              <w:jc w:val="center"/>
              <w:rPr>
                <w:rFonts w:eastAsia="方正仿宋_GB2312" w:cs="方正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7" w:hRule="atLeast"/>
        </w:trPr>
        <w:tc>
          <w:tcPr>
            <w:tcW w:w="1563" w:type="dxa"/>
            <w:vMerge w:val="continue"/>
            <w:vAlign w:val="center"/>
          </w:tcPr>
          <w:p>
            <w:pPr>
              <w:spacing w:line="240" w:lineRule="auto"/>
              <w:jc w:val="center"/>
              <w:rPr>
                <w:rFonts w:eastAsia="方正仿宋_GB2312" w:cs="方正仿宋_GB2312"/>
                <w:szCs w:val="21"/>
              </w:rPr>
            </w:pPr>
          </w:p>
        </w:tc>
        <w:tc>
          <w:tcPr>
            <w:tcW w:w="2089" w:type="dxa"/>
            <w:vMerge w:val="continue"/>
            <w:vAlign w:val="center"/>
          </w:tcPr>
          <w:p>
            <w:pPr>
              <w:spacing w:line="240" w:lineRule="auto"/>
              <w:rPr>
                <w:rFonts w:eastAsia="方正仿宋_GB2312" w:cs="方正仿宋_GB2312"/>
                <w:szCs w:val="21"/>
              </w:rPr>
            </w:pPr>
          </w:p>
        </w:tc>
        <w:tc>
          <w:tcPr>
            <w:tcW w:w="2491" w:type="dxa"/>
            <w:vAlign w:val="center"/>
          </w:tcPr>
          <w:p>
            <w:pPr>
              <w:spacing w:line="240" w:lineRule="auto"/>
              <w:rPr>
                <w:rFonts w:eastAsia="方正仿宋_GB2312" w:cs="方正仿宋_GB2312"/>
                <w:szCs w:val="21"/>
              </w:rPr>
            </w:pPr>
            <w:r>
              <w:rPr>
                <w:rFonts w:hint="eastAsia" w:eastAsia="方正仿宋_GB2312" w:cs="方正仿宋_GB2312"/>
                <w:szCs w:val="21"/>
              </w:rPr>
              <w:t>硕士生英语</w:t>
            </w:r>
          </w:p>
        </w:tc>
        <w:tc>
          <w:tcPr>
            <w:tcW w:w="854" w:type="dxa"/>
            <w:vAlign w:val="center"/>
          </w:tcPr>
          <w:p>
            <w:pPr>
              <w:spacing w:line="240" w:lineRule="auto"/>
              <w:jc w:val="center"/>
              <w:rPr>
                <w:rFonts w:eastAsia="方正仿宋_GB2312" w:cs="方正仿宋_GB2312"/>
                <w:szCs w:val="21"/>
              </w:rPr>
            </w:pPr>
            <w:r>
              <w:rPr>
                <w:rFonts w:eastAsia="方正仿宋_GB2312" w:cs="方正仿宋_GB2312"/>
                <w:szCs w:val="21"/>
              </w:rPr>
              <w:t>3</w:t>
            </w:r>
          </w:p>
        </w:tc>
        <w:tc>
          <w:tcPr>
            <w:tcW w:w="1070" w:type="dxa"/>
            <w:vAlign w:val="center"/>
          </w:tcPr>
          <w:p>
            <w:pPr>
              <w:spacing w:line="240" w:lineRule="auto"/>
              <w:jc w:val="center"/>
              <w:rPr>
                <w:rFonts w:eastAsia="方正仿宋_GB2312" w:cs="方正仿宋_GB2312"/>
                <w:szCs w:val="21"/>
              </w:rPr>
            </w:pPr>
            <w:r>
              <w:rPr>
                <w:rFonts w:eastAsia="方正仿宋_GB2312" w:cs="方正仿宋_GB2312"/>
                <w:szCs w:val="21"/>
              </w:rPr>
              <w:t>48</w:t>
            </w:r>
          </w:p>
        </w:tc>
        <w:tc>
          <w:tcPr>
            <w:tcW w:w="750" w:type="dxa"/>
            <w:vMerge w:val="continue"/>
            <w:vAlign w:val="center"/>
          </w:tcPr>
          <w:p>
            <w:pPr>
              <w:spacing w:line="240" w:lineRule="auto"/>
              <w:jc w:val="center"/>
              <w:rPr>
                <w:rFonts w:eastAsia="方正仿宋_GB2312" w:cs="方正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9" w:hRule="atLeast"/>
        </w:trPr>
        <w:tc>
          <w:tcPr>
            <w:tcW w:w="1563" w:type="dxa"/>
            <w:vMerge w:val="restart"/>
            <w:vAlign w:val="center"/>
          </w:tcPr>
          <w:p>
            <w:pPr>
              <w:spacing w:line="240" w:lineRule="auto"/>
              <w:jc w:val="center"/>
              <w:rPr>
                <w:rFonts w:hint="eastAsia" w:eastAsia="方正仿宋_GB2312" w:cs="方正仿宋_GB2312"/>
                <w:szCs w:val="21"/>
              </w:rPr>
            </w:pPr>
            <w:r>
              <w:rPr>
                <w:rFonts w:hint="eastAsia" w:eastAsia="方正仿宋_GB2312" w:cs="方正仿宋_GB2312"/>
                <w:szCs w:val="21"/>
              </w:rPr>
              <w:t>专业必修课</w:t>
            </w:r>
          </w:p>
          <w:p>
            <w:pPr>
              <w:spacing w:line="240" w:lineRule="auto"/>
              <w:jc w:val="center"/>
              <w:rPr>
                <w:rFonts w:eastAsia="方正仿宋_GB2312" w:cs="方正仿宋_GB2312"/>
                <w:szCs w:val="21"/>
              </w:rPr>
            </w:pPr>
            <w:r>
              <w:rPr>
                <w:rFonts w:hint="eastAsia" w:eastAsia="方正仿宋_GB2312" w:cs="方正仿宋_GB2312"/>
                <w:szCs w:val="21"/>
              </w:rPr>
              <w:t>（8学分）</w:t>
            </w:r>
          </w:p>
        </w:tc>
        <w:tc>
          <w:tcPr>
            <w:tcW w:w="2089" w:type="dxa"/>
            <w:vAlign w:val="center"/>
          </w:tcPr>
          <w:p>
            <w:pPr>
              <w:spacing w:line="240" w:lineRule="auto"/>
              <w:rPr>
                <w:rFonts w:hint="eastAsia" w:eastAsia="方正仿宋_GB2312" w:cs="方正仿宋_GB2312"/>
                <w:szCs w:val="21"/>
                <w:lang w:eastAsia="zh-CN"/>
              </w:rPr>
            </w:pPr>
            <w:r>
              <w:rPr>
                <w:rFonts w:hint="eastAsia" w:eastAsia="方正仿宋_GB2312" w:cs="方正仿宋_GB2312"/>
                <w:szCs w:val="21"/>
              </w:rPr>
              <w:t>基础理论知识</w:t>
            </w:r>
            <w:r>
              <w:rPr>
                <w:rFonts w:hint="eastAsia" w:eastAsia="方正仿宋_GB2312" w:cs="方正仿宋_GB2312"/>
                <w:szCs w:val="21"/>
                <w:lang w:eastAsia="zh-CN"/>
              </w:rPr>
              <w:t>课程</w:t>
            </w:r>
          </w:p>
        </w:tc>
        <w:tc>
          <w:tcPr>
            <w:tcW w:w="2491" w:type="dxa"/>
            <w:vAlign w:val="center"/>
          </w:tcPr>
          <w:p>
            <w:pPr>
              <w:spacing w:line="240" w:lineRule="auto"/>
              <w:jc w:val="left"/>
              <w:rPr>
                <w:rFonts w:eastAsia="方正仿宋_GB2312" w:cs="方正仿宋_GB2312"/>
                <w:szCs w:val="21"/>
              </w:rPr>
            </w:pPr>
            <w:r>
              <w:rPr>
                <w:rFonts w:hint="eastAsia" w:eastAsia="方正仿宋_GB2312" w:cs="方正仿宋_GB2312"/>
                <w:szCs w:val="21"/>
              </w:rPr>
              <w:t>医学统计学</w:t>
            </w:r>
          </w:p>
        </w:tc>
        <w:tc>
          <w:tcPr>
            <w:tcW w:w="854" w:type="dxa"/>
            <w:vAlign w:val="center"/>
          </w:tcPr>
          <w:p>
            <w:pPr>
              <w:spacing w:line="240" w:lineRule="auto"/>
              <w:jc w:val="center"/>
              <w:rPr>
                <w:rFonts w:eastAsia="方正仿宋_GB2312" w:cs="方正仿宋_GB2312"/>
                <w:szCs w:val="21"/>
              </w:rPr>
            </w:pPr>
            <w:r>
              <w:rPr>
                <w:rFonts w:eastAsia="方正仿宋_GB2312" w:cs="方正仿宋_GB2312"/>
                <w:szCs w:val="21"/>
              </w:rPr>
              <w:t>2</w:t>
            </w:r>
          </w:p>
        </w:tc>
        <w:tc>
          <w:tcPr>
            <w:tcW w:w="1070" w:type="dxa"/>
            <w:vAlign w:val="center"/>
          </w:tcPr>
          <w:p>
            <w:pPr>
              <w:spacing w:line="240" w:lineRule="auto"/>
              <w:jc w:val="center"/>
              <w:rPr>
                <w:rFonts w:hint="eastAsia" w:eastAsia="方正仿宋_GB2312" w:cs="方正仿宋_GB2312"/>
                <w:szCs w:val="21"/>
                <w:lang w:eastAsia="zh-CN"/>
              </w:rPr>
            </w:pPr>
            <w:r>
              <w:rPr>
                <w:rFonts w:eastAsia="方正仿宋_GB2312" w:cs="方正仿宋_GB2312"/>
                <w:szCs w:val="21"/>
              </w:rPr>
              <w:t>3</w:t>
            </w:r>
            <w:r>
              <w:rPr>
                <w:rFonts w:hint="eastAsia" w:eastAsia="方正仿宋_GB2312" w:cs="方正仿宋_GB2312"/>
                <w:szCs w:val="21"/>
                <w:lang w:val="en-US" w:eastAsia="zh-CN"/>
              </w:rPr>
              <w:t>2</w:t>
            </w:r>
          </w:p>
        </w:tc>
        <w:tc>
          <w:tcPr>
            <w:tcW w:w="750" w:type="dxa"/>
            <w:vMerge w:val="continue"/>
            <w:vAlign w:val="center"/>
          </w:tcPr>
          <w:p>
            <w:pPr>
              <w:spacing w:line="240" w:lineRule="auto"/>
              <w:jc w:val="center"/>
              <w:rPr>
                <w:rFonts w:eastAsia="方正仿宋_GB2312" w:cs="方正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trPr>
        <w:tc>
          <w:tcPr>
            <w:tcW w:w="1563" w:type="dxa"/>
            <w:vMerge w:val="continue"/>
            <w:vAlign w:val="center"/>
          </w:tcPr>
          <w:p>
            <w:pPr>
              <w:spacing w:line="240" w:lineRule="auto"/>
              <w:jc w:val="center"/>
              <w:rPr>
                <w:rFonts w:eastAsia="方正仿宋_GB2312" w:cs="方正仿宋_GB2312"/>
                <w:szCs w:val="21"/>
              </w:rPr>
            </w:pPr>
          </w:p>
        </w:tc>
        <w:tc>
          <w:tcPr>
            <w:tcW w:w="2089" w:type="dxa"/>
            <w:vMerge w:val="restart"/>
            <w:vAlign w:val="center"/>
          </w:tcPr>
          <w:p>
            <w:pPr>
              <w:spacing w:line="240" w:lineRule="auto"/>
              <w:rPr>
                <w:rFonts w:hint="eastAsia" w:eastAsia="方正仿宋_GB2312" w:cs="方正仿宋_GB2312"/>
                <w:szCs w:val="21"/>
                <w:lang w:eastAsia="zh-CN"/>
              </w:rPr>
            </w:pPr>
            <w:r>
              <w:rPr>
                <w:rFonts w:hint="eastAsia" w:eastAsia="方正仿宋_GB2312" w:cs="方正仿宋_GB2312"/>
                <w:szCs w:val="21"/>
              </w:rPr>
              <w:t>专业基础课程</w:t>
            </w:r>
          </w:p>
        </w:tc>
        <w:tc>
          <w:tcPr>
            <w:tcW w:w="2491" w:type="dxa"/>
            <w:vAlign w:val="center"/>
          </w:tcPr>
          <w:p>
            <w:pPr>
              <w:spacing w:line="240" w:lineRule="auto"/>
              <w:rPr>
                <w:rFonts w:eastAsia="方正仿宋_GB2312" w:cs="方正仿宋_GB2312"/>
                <w:szCs w:val="21"/>
              </w:rPr>
            </w:pPr>
            <w:r>
              <w:rPr>
                <w:rFonts w:hint="eastAsia" w:eastAsia="方正仿宋_GB2312" w:cs="方正仿宋_GB2312"/>
                <w:szCs w:val="21"/>
              </w:rPr>
              <w:t>流行病学研究方法与应用</w:t>
            </w:r>
          </w:p>
        </w:tc>
        <w:tc>
          <w:tcPr>
            <w:tcW w:w="854" w:type="dxa"/>
            <w:vAlign w:val="center"/>
          </w:tcPr>
          <w:p>
            <w:pPr>
              <w:spacing w:line="240" w:lineRule="auto"/>
              <w:jc w:val="center"/>
              <w:rPr>
                <w:rFonts w:eastAsia="方正仿宋_GB2312" w:cs="方正仿宋_GB2312"/>
                <w:szCs w:val="21"/>
              </w:rPr>
            </w:pPr>
            <w:r>
              <w:rPr>
                <w:rFonts w:eastAsia="方正仿宋_GB2312" w:cs="方正仿宋_GB2312"/>
                <w:szCs w:val="21"/>
              </w:rPr>
              <w:t>2</w:t>
            </w:r>
          </w:p>
        </w:tc>
        <w:tc>
          <w:tcPr>
            <w:tcW w:w="1070" w:type="dxa"/>
            <w:vAlign w:val="center"/>
          </w:tcPr>
          <w:p>
            <w:pPr>
              <w:spacing w:line="240" w:lineRule="auto"/>
              <w:jc w:val="center"/>
              <w:rPr>
                <w:rFonts w:hint="eastAsia" w:eastAsia="方正仿宋_GB2312" w:cs="方正仿宋_GB2312"/>
                <w:szCs w:val="21"/>
                <w:lang w:eastAsia="zh-CN"/>
              </w:rPr>
            </w:pPr>
            <w:r>
              <w:rPr>
                <w:rFonts w:eastAsia="方正仿宋_GB2312" w:cs="方正仿宋_GB2312"/>
                <w:szCs w:val="21"/>
              </w:rPr>
              <w:t>3</w:t>
            </w:r>
            <w:r>
              <w:rPr>
                <w:rFonts w:hint="eastAsia" w:eastAsia="方正仿宋_GB2312" w:cs="方正仿宋_GB2312"/>
                <w:szCs w:val="21"/>
                <w:lang w:val="en-US" w:eastAsia="zh-CN"/>
              </w:rPr>
              <w:t>2</w:t>
            </w:r>
          </w:p>
        </w:tc>
        <w:tc>
          <w:tcPr>
            <w:tcW w:w="750" w:type="dxa"/>
            <w:vMerge w:val="continue"/>
            <w:vAlign w:val="center"/>
          </w:tcPr>
          <w:p>
            <w:pPr>
              <w:spacing w:line="240" w:lineRule="auto"/>
              <w:jc w:val="center"/>
              <w:rPr>
                <w:rFonts w:eastAsia="方正仿宋_GB2312" w:cs="方正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4" w:hRule="atLeast"/>
        </w:trPr>
        <w:tc>
          <w:tcPr>
            <w:tcW w:w="1563" w:type="dxa"/>
            <w:vMerge w:val="continue"/>
            <w:vAlign w:val="center"/>
          </w:tcPr>
          <w:p>
            <w:pPr>
              <w:spacing w:line="240" w:lineRule="auto"/>
              <w:jc w:val="center"/>
              <w:rPr>
                <w:rFonts w:eastAsia="方正仿宋_GB2312" w:cs="方正仿宋_GB2312"/>
                <w:szCs w:val="21"/>
              </w:rPr>
            </w:pPr>
          </w:p>
        </w:tc>
        <w:tc>
          <w:tcPr>
            <w:tcW w:w="2089" w:type="dxa"/>
            <w:vMerge w:val="continue"/>
            <w:vAlign w:val="center"/>
          </w:tcPr>
          <w:p>
            <w:pPr>
              <w:spacing w:line="240" w:lineRule="auto"/>
              <w:rPr>
                <w:rFonts w:eastAsia="方正仿宋_GB2312" w:cs="方正仿宋_GB2312"/>
                <w:szCs w:val="21"/>
              </w:rPr>
            </w:pPr>
          </w:p>
        </w:tc>
        <w:tc>
          <w:tcPr>
            <w:tcW w:w="2491" w:type="dxa"/>
            <w:vAlign w:val="center"/>
          </w:tcPr>
          <w:p>
            <w:pPr>
              <w:spacing w:line="240" w:lineRule="auto"/>
              <w:rPr>
                <w:rFonts w:eastAsia="方正仿宋_GB2312" w:cs="方正仿宋_GB2312"/>
                <w:szCs w:val="21"/>
              </w:rPr>
            </w:pPr>
            <w:r>
              <w:rPr>
                <w:rFonts w:hint="eastAsia" w:eastAsia="方正仿宋_GB2312" w:cs="方正仿宋_GB2312"/>
                <w:szCs w:val="21"/>
              </w:rPr>
              <w:t>公共卫生与预防医学前沿进展</w:t>
            </w:r>
          </w:p>
        </w:tc>
        <w:tc>
          <w:tcPr>
            <w:tcW w:w="854" w:type="dxa"/>
            <w:vAlign w:val="center"/>
          </w:tcPr>
          <w:p>
            <w:pPr>
              <w:spacing w:line="240" w:lineRule="auto"/>
              <w:jc w:val="center"/>
              <w:rPr>
                <w:rFonts w:eastAsia="方正仿宋_GB2312" w:cs="方正仿宋_GB2312"/>
                <w:szCs w:val="21"/>
              </w:rPr>
            </w:pPr>
            <w:r>
              <w:rPr>
                <w:rFonts w:eastAsia="方正仿宋_GB2312" w:cs="方正仿宋_GB2312"/>
                <w:szCs w:val="21"/>
              </w:rPr>
              <w:t>2</w:t>
            </w:r>
          </w:p>
        </w:tc>
        <w:tc>
          <w:tcPr>
            <w:tcW w:w="1070" w:type="dxa"/>
            <w:vAlign w:val="center"/>
          </w:tcPr>
          <w:p>
            <w:pPr>
              <w:spacing w:line="240" w:lineRule="auto"/>
              <w:jc w:val="center"/>
              <w:rPr>
                <w:rFonts w:hint="eastAsia" w:eastAsia="方正仿宋_GB2312" w:cs="方正仿宋_GB2312"/>
                <w:szCs w:val="21"/>
                <w:lang w:eastAsia="zh-CN"/>
              </w:rPr>
            </w:pPr>
            <w:r>
              <w:rPr>
                <w:rFonts w:eastAsia="方正仿宋_GB2312" w:cs="方正仿宋_GB2312"/>
                <w:szCs w:val="21"/>
              </w:rPr>
              <w:t>3</w:t>
            </w:r>
            <w:r>
              <w:rPr>
                <w:rFonts w:hint="eastAsia" w:eastAsia="方正仿宋_GB2312" w:cs="方正仿宋_GB2312"/>
                <w:szCs w:val="21"/>
                <w:lang w:val="en-US" w:eastAsia="zh-CN"/>
              </w:rPr>
              <w:t>2</w:t>
            </w:r>
          </w:p>
        </w:tc>
        <w:tc>
          <w:tcPr>
            <w:tcW w:w="750" w:type="dxa"/>
            <w:vMerge w:val="continue"/>
            <w:vAlign w:val="center"/>
          </w:tcPr>
          <w:p>
            <w:pPr>
              <w:spacing w:line="240" w:lineRule="auto"/>
              <w:jc w:val="center"/>
              <w:rPr>
                <w:rFonts w:eastAsia="方正仿宋_GB2312" w:cs="方正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2" w:hRule="atLeast"/>
        </w:trPr>
        <w:tc>
          <w:tcPr>
            <w:tcW w:w="1563" w:type="dxa"/>
            <w:vMerge w:val="continue"/>
            <w:vAlign w:val="center"/>
          </w:tcPr>
          <w:p>
            <w:pPr>
              <w:spacing w:line="240" w:lineRule="auto"/>
              <w:jc w:val="center"/>
              <w:rPr>
                <w:rFonts w:eastAsia="方正仿宋_GB2312" w:cs="方正仿宋_GB2312"/>
                <w:szCs w:val="21"/>
              </w:rPr>
            </w:pPr>
          </w:p>
        </w:tc>
        <w:tc>
          <w:tcPr>
            <w:tcW w:w="2089" w:type="dxa"/>
            <w:vMerge w:val="continue"/>
            <w:vAlign w:val="center"/>
          </w:tcPr>
          <w:p>
            <w:pPr>
              <w:spacing w:line="240" w:lineRule="auto"/>
              <w:rPr>
                <w:rFonts w:eastAsia="方正仿宋_GB2312" w:cs="方正仿宋_GB2312"/>
                <w:szCs w:val="21"/>
              </w:rPr>
            </w:pPr>
          </w:p>
        </w:tc>
        <w:tc>
          <w:tcPr>
            <w:tcW w:w="2491" w:type="dxa"/>
            <w:vAlign w:val="center"/>
          </w:tcPr>
          <w:p>
            <w:pPr>
              <w:spacing w:line="240" w:lineRule="auto"/>
              <w:rPr>
                <w:rFonts w:eastAsia="方正仿宋_GB2312" w:cs="方正仿宋_GB2312"/>
                <w:szCs w:val="21"/>
              </w:rPr>
            </w:pPr>
            <w:r>
              <w:rPr>
                <w:rFonts w:hint="eastAsia" w:eastAsia="方正仿宋_GB2312" w:cs="方正仿宋_GB2312"/>
                <w:szCs w:val="21"/>
              </w:rPr>
              <w:t>公共卫生现场处置技术</w:t>
            </w:r>
          </w:p>
        </w:tc>
        <w:tc>
          <w:tcPr>
            <w:tcW w:w="854" w:type="dxa"/>
            <w:vAlign w:val="center"/>
          </w:tcPr>
          <w:p>
            <w:pPr>
              <w:spacing w:line="240" w:lineRule="auto"/>
              <w:jc w:val="center"/>
              <w:rPr>
                <w:rFonts w:eastAsia="方正仿宋_GB2312" w:cs="方正仿宋_GB2312"/>
                <w:szCs w:val="21"/>
              </w:rPr>
            </w:pPr>
            <w:r>
              <w:rPr>
                <w:rFonts w:eastAsia="方正仿宋_GB2312" w:cs="方正仿宋_GB2312"/>
                <w:szCs w:val="21"/>
              </w:rPr>
              <w:t>2</w:t>
            </w:r>
          </w:p>
        </w:tc>
        <w:tc>
          <w:tcPr>
            <w:tcW w:w="1070" w:type="dxa"/>
            <w:vAlign w:val="center"/>
          </w:tcPr>
          <w:p>
            <w:pPr>
              <w:spacing w:line="240" w:lineRule="auto"/>
              <w:jc w:val="center"/>
              <w:rPr>
                <w:rFonts w:hint="eastAsia" w:eastAsia="方正仿宋_GB2312" w:cs="方正仿宋_GB2312"/>
                <w:szCs w:val="21"/>
                <w:lang w:eastAsia="zh-CN"/>
              </w:rPr>
            </w:pPr>
            <w:r>
              <w:rPr>
                <w:rFonts w:eastAsia="方正仿宋_GB2312" w:cs="方正仿宋_GB2312"/>
                <w:szCs w:val="21"/>
              </w:rPr>
              <w:t>3</w:t>
            </w:r>
            <w:r>
              <w:rPr>
                <w:rFonts w:hint="eastAsia" w:eastAsia="方正仿宋_GB2312" w:cs="方正仿宋_GB2312"/>
                <w:szCs w:val="21"/>
                <w:lang w:val="en-US" w:eastAsia="zh-CN"/>
              </w:rPr>
              <w:t>2</w:t>
            </w:r>
          </w:p>
        </w:tc>
        <w:tc>
          <w:tcPr>
            <w:tcW w:w="750" w:type="dxa"/>
            <w:vMerge w:val="continue"/>
            <w:vAlign w:val="center"/>
          </w:tcPr>
          <w:p>
            <w:pPr>
              <w:spacing w:line="240" w:lineRule="auto"/>
              <w:jc w:val="center"/>
              <w:rPr>
                <w:rFonts w:eastAsia="方正仿宋_GB2312" w:cs="方正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2" w:hRule="atLeast"/>
        </w:trPr>
        <w:tc>
          <w:tcPr>
            <w:tcW w:w="1563" w:type="dxa"/>
            <w:vMerge w:val="restart"/>
            <w:vAlign w:val="center"/>
          </w:tcPr>
          <w:p>
            <w:pPr>
              <w:spacing w:line="240" w:lineRule="auto"/>
              <w:jc w:val="center"/>
              <w:rPr>
                <w:rFonts w:hint="eastAsia" w:eastAsia="方正仿宋_GB2312" w:cs="方正仿宋_GB2312"/>
                <w:szCs w:val="21"/>
              </w:rPr>
            </w:pPr>
            <w:r>
              <w:rPr>
                <w:rFonts w:hint="eastAsia" w:eastAsia="方正仿宋_GB2312" w:cs="方正仿宋_GB2312"/>
                <w:szCs w:val="21"/>
              </w:rPr>
              <w:t>专业选修课</w:t>
            </w:r>
          </w:p>
          <w:p>
            <w:pPr>
              <w:spacing w:line="240" w:lineRule="auto"/>
              <w:jc w:val="center"/>
              <w:rPr>
                <w:rFonts w:eastAsia="方正仿宋_GB2312" w:cs="方正仿宋_GB2312"/>
                <w:szCs w:val="21"/>
              </w:rPr>
            </w:pPr>
            <w:r>
              <w:rPr>
                <w:rFonts w:hint="eastAsia" w:eastAsia="方正仿宋_GB2312" w:cs="方正仿宋_GB2312"/>
                <w:szCs w:val="21"/>
              </w:rPr>
              <w:t>（6学分）</w:t>
            </w:r>
          </w:p>
        </w:tc>
        <w:tc>
          <w:tcPr>
            <w:tcW w:w="2089" w:type="dxa"/>
            <w:vMerge w:val="restart"/>
            <w:vAlign w:val="center"/>
          </w:tcPr>
          <w:p>
            <w:pPr>
              <w:spacing w:line="240" w:lineRule="auto"/>
              <w:rPr>
                <w:rFonts w:hint="eastAsia" w:eastAsia="方正仿宋_GB2312" w:cs="方正仿宋_GB2312"/>
                <w:szCs w:val="21"/>
              </w:rPr>
            </w:pPr>
            <w:r>
              <w:rPr>
                <w:rFonts w:hint="eastAsia" w:ascii="Times New Roman" w:hAnsi="Times New Roman" w:eastAsia="方正仿宋_GB2312" w:cs="方正仿宋_GB2312"/>
                <w:sz w:val="21"/>
                <w:szCs w:val="21"/>
              </w:rPr>
              <w:t>基础理论知识课程</w:t>
            </w:r>
          </w:p>
        </w:tc>
        <w:tc>
          <w:tcPr>
            <w:tcW w:w="2491" w:type="dxa"/>
            <w:vAlign w:val="center"/>
          </w:tcPr>
          <w:p>
            <w:pPr>
              <w:spacing w:line="240" w:lineRule="auto"/>
              <w:rPr>
                <w:rFonts w:hint="eastAsia" w:ascii="Times New Roman" w:hAnsi="Times New Roman" w:eastAsia="方正仿宋_GB2312" w:cs="方正仿宋_GB2312"/>
                <w:kern w:val="2"/>
                <w:sz w:val="21"/>
                <w:szCs w:val="21"/>
                <w:lang w:val="en-US" w:eastAsia="zh-CN" w:bidi="ar-SA"/>
              </w:rPr>
            </w:pPr>
            <w:r>
              <w:rPr>
                <w:rFonts w:hint="eastAsia" w:eastAsia="方正仿宋_GB2312" w:cs="方正仿宋_GB2312"/>
                <w:szCs w:val="21"/>
              </w:rPr>
              <w:t>医学分子生物学</w:t>
            </w:r>
          </w:p>
        </w:tc>
        <w:tc>
          <w:tcPr>
            <w:tcW w:w="854" w:type="dxa"/>
            <w:vAlign w:val="center"/>
          </w:tcPr>
          <w:p>
            <w:pPr>
              <w:spacing w:line="240" w:lineRule="auto"/>
              <w:jc w:val="center"/>
              <w:rPr>
                <w:rFonts w:ascii="Times New Roman" w:hAnsi="Times New Roman" w:eastAsia="方正仿宋_GB2312" w:cs="方正仿宋_GB2312"/>
                <w:kern w:val="2"/>
                <w:sz w:val="21"/>
                <w:szCs w:val="21"/>
                <w:lang w:val="en-US" w:eastAsia="zh-CN" w:bidi="ar-SA"/>
              </w:rPr>
            </w:pPr>
            <w:r>
              <w:rPr>
                <w:rFonts w:eastAsia="方正仿宋_GB2312" w:cs="方正仿宋_GB2312"/>
                <w:szCs w:val="21"/>
              </w:rPr>
              <w:t>2</w:t>
            </w:r>
          </w:p>
        </w:tc>
        <w:tc>
          <w:tcPr>
            <w:tcW w:w="1070" w:type="dxa"/>
            <w:vAlign w:val="center"/>
          </w:tcPr>
          <w:p>
            <w:pPr>
              <w:spacing w:line="240" w:lineRule="auto"/>
              <w:jc w:val="center"/>
              <w:rPr>
                <w:rFonts w:hint="eastAsia" w:ascii="Times New Roman" w:hAnsi="Times New Roman" w:eastAsia="方正仿宋_GB2312" w:cs="方正仿宋_GB2312"/>
                <w:kern w:val="2"/>
                <w:sz w:val="21"/>
                <w:szCs w:val="21"/>
                <w:lang w:val="en-US" w:eastAsia="zh-CN" w:bidi="ar-SA"/>
              </w:rPr>
            </w:pPr>
            <w:r>
              <w:rPr>
                <w:rFonts w:eastAsia="方正仿宋_GB2312" w:cs="方正仿宋_GB2312"/>
                <w:szCs w:val="21"/>
              </w:rPr>
              <w:t>3</w:t>
            </w:r>
            <w:r>
              <w:rPr>
                <w:rFonts w:hint="eastAsia" w:eastAsia="方正仿宋_GB2312" w:cs="方正仿宋_GB2312"/>
                <w:szCs w:val="21"/>
                <w:lang w:val="en-US" w:eastAsia="zh-CN"/>
              </w:rPr>
              <w:t>2</w:t>
            </w:r>
          </w:p>
        </w:tc>
        <w:tc>
          <w:tcPr>
            <w:tcW w:w="750" w:type="dxa"/>
            <w:vMerge w:val="restart"/>
            <w:vAlign w:val="center"/>
          </w:tcPr>
          <w:p>
            <w:pPr>
              <w:spacing w:line="240" w:lineRule="auto"/>
              <w:jc w:val="center"/>
              <w:rPr>
                <w:rFonts w:eastAsia="方正仿宋_GB2312" w:cs="方正仿宋_GB2312"/>
                <w:szCs w:val="21"/>
              </w:rPr>
            </w:pPr>
            <w:r>
              <w:rPr>
                <w:rFonts w:hint="eastAsia" w:eastAsia="方正仿宋_GB2312" w:cs="方正仿宋_GB2312"/>
                <w:szCs w:val="21"/>
              </w:rPr>
              <w:t>选修9选3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2" w:hRule="atLeast"/>
        </w:trPr>
        <w:tc>
          <w:tcPr>
            <w:tcW w:w="1563" w:type="dxa"/>
            <w:vMerge w:val="continue"/>
            <w:vAlign w:val="center"/>
          </w:tcPr>
          <w:p>
            <w:pPr>
              <w:spacing w:line="240" w:lineRule="auto"/>
              <w:jc w:val="center"/>
              <w:rPr>
                <w:rFonts w:hint="eastAsia" w:eastAsia="方正仿宋_GB2312" w:cs="方正仿宋_GB2312"/>
                <w:szCs w:val="21"/>
              </w:rPr>
            </w:pPr>
          </w:p>
        </w:tc>
        <w:tc>
          <w:tcPr>
            <w:tcW w:w="2089" w:type="dxa"/>
            <w:vMerge w:val="continue"/>
            <w:vAlign w:val="center"/>
          </w:tcPr>
          <w:p>
            <w:pPr>
              <w:spacing w:line="240" w:lineRule="auto"/>
              <w:rPr>
                <w:rFonts w:hint="eastAsia" w:eastAsia="方正仿宋_GB2312" w:cs="方正仿宋_GB2312"/>
                <w:szCs w:val="21"/>
              </w:rPr>
            </w:pPr>
          </w:p>
        </w:tc>
        <w:tc>
          <w:tcPr>
            <w:tcW w:w="2491" w:type="dxa"/>
            <w:vAlign w:val="center"/>
          </w:tcPr>
          <w:p>
            <w:pPr>
              <w:spacing w:line="240" w:lineRule="auto"/>
              <w:rPr>
                <w:rFonts w:hint="eastAsia" w:ascii="Times New Roman" w:hAnsi="Times New Roman" w:eastAsia="方正仿宋_GB2312" w:cs="方正仿宋_GB2312"/>
                <w:kern w:val="2"/>
                <w:sz w:val="21"/>
                <w:szCs w:val="21"/>
                <w:lang w:val="en-US" w:eastAsia="zh-CN" w:bidi="ar-SA"/>
              </w:rPr>
            </w:pPr>
            <w:r>
              <w:rPr>
                <w:rFonts w:hint="eastAsia" w:eastAsia="方正仿宋_GB2312" w:cs="方正仿宋_GB2312"/>
                <w:szCs w:val="21"/>
              </w:rPr>
              <w:t>医学科研方法</w:t>
            </w:r>
          </w:p>
        </w:tc>
        <w:tc>
          <w:tcPr>
            <w:tcW w:w="854" w:type="dxa"/>
            <w:vAlign w:val="center"/>
          </w:tcPr>
          <w:p>
            <w:pPr>
              <w:spacing w:line="240" w:lineRule="auto"/>
              <w:jc w:val="center"/>
              <w:rPr>
                <w:rFonts w:ascii="Times New Roman" w:hAnsi="Times New Roman" w:eastAsia="方正仿宋_GB2312" w:cs="方正仿宋_GB2312"/>
                <w:kern w:val="2"/>
                <w:sz w:val="21"/>
                <w:szCs w:val="21"/>
                <w:lang w:val="en-US" w:eastAsia="zh-CN" w:bidi="ar-SA"/>
              </w:rPr>
            </w:pPr>
            <w:r>
              <w:rPr>
                <w:rFonts w:eastAsia="方正仿宋_GB2312" w:cs="方正仿宋_GB2312"/>
                <w:szCs w:val="21"/>
              </w:rPr>
              <w:t>2</w:t>
            </w:r>
          </w:p>
        </w:tc>
        <w:tc>
          <w:tcPr>
            <w:tcW w:w="1070" w:type="dxa"/>
            <w:vAlign w:val="center"/>
          </w:tcPr>
          <w:p>
            <w:pPr>
              <w:spacing w:line="240" w:lineRule="auto"/>
              <w:jc w:val="center"/>
              <w:rPr>
                <w:rFonts w:hint="eastAsia" w:ascii="Times New Roman" w:hAnsi="Times New Roman" w:eastAsia="方正仿宋_GB2312" w:cs="方正仿宋_GB2312"/>
                <w:kern w:val="2"/>
                <w:sz w:val="21"/>
                <w:szCs w:val="21"/>
                <w:lang w:val="en-US" w:eastAsia="zh-CN" w:bidi="ar-SA"/>
              </w:rPr>
            </w:pPr>
            <w:r>
              <w:rPr>
                <w:rFonts w:eastAsia="方正仿宋_GB2312" w:cs="方正仿宋_GB2312"/>
                <w:szCs w:val="21"/>
              </w:rPr>
              <w:t>3</w:t>
            </w:r>
            <w:r>
              <w:rPr>
                <w:rFonts w:hint="eastAsia" w:eastAsia="方正仿宋_GB2312" w:cs="方正仿宋_GB2312"/>
                <w:szCs w:val="21"/>
                <w:lang w:val="en-US" w:eastAsia="zh-CN"/>
              </w:rPr>
              <w:t>2</w:t>
            </w:r>
          </w:p>
        </w:tc>
        <w:tc>
          <w:tcPr>
            <w:tcW w:w="750" w:type="dxa"/>
            <w:vMerge w:val="continue"/>
            <w:vAlign w:val="center"/>
          </w:tcPr>
          <w:p>
            <w:pPr>
              <w:spacing w:line="240" w:lineRule="auto"/>
              <w:jc w:val="center"/>
              <w:rPr>
                <w:rFonts w:hint="eastAsia" w:eastAsia="方正仿宋_GB2312" w:cs="方正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2" w:hRule="atLeast"/>
        </w:trPr>
        <w:tc>
          <w:tcPr>
            <w:tcW w:w="1563" w:type="dxa"/>
            <w:vMerge w:val="continue"/>
            <w:vAlign w:val="center"/>
          </w:tcPr>
          <w:p>
            <w:pPr>
              <w:spacing w:line="240" w:lineRule="auto"/>
              <w:jc w:val="center"/>
              <w:rPr>
                <w:rFonts w:hint="eastAsia" w:eastAsia="方正仿宋_GB2312" w:cs="方正仿宋_GB2312"/>
                <w:szCs w:val="21"/>
              </w:rPr>
            </w:pPr>
          </w:p>
        </w:tc>
        <w:tc>
          <w:tcPr>
            <w:tcW w:w="2089" w:type="dxa"/>
            <w:vAlign w:val="center"/>
          </w:tcPr>
          <w:p>
            <w:pPr>
              <w:spacing w:line="240" w:lineRule="auto"/>
              <w:rPr>
                <w:rFonts w:hint="eastAsia" w:eastAsia="方正仿宋_GB2312" w:cs="方正仿宋_GB2312"/>
                <w:szCs w:val="21"/>
              </w:rPr>
            </w:pPr>
            <w:r>
              <w:rPr>
                <w:rFonts w:hint="eastAsia" w:eastAsia="方正仿宋_GB2312" w:cs="方正仿宋_GB2312"/>
                <w:szCs w:val="21"/>
              </w:rPr>
              <w:t>专业基础课程</w:t>
            </w:r>
          </w:p>
        </w:tc>
        <w:tc>
          <w:tcPr>
            <w:tcW w:w="2491" w:type="dxa"/>
            <w:vAlign w:val="center"/>
          </w:tcPr>
          <w:p>
            <w:pPr>
              <w:spacing w:line="240" w:lineRule="auto"/>
              <w:rPr>
                <w:rFonts w:hint="eastAsia" w:ascii="Times New Roman" w:hAnsi="Times New Roman" w:eastAsia="方正仿宋_GB2312" w:cs="方正仿宋_GB2312"/>
                <w:kern w:val="2"/>
                <w:sz w:val="21"/>
                <w:szCs w:val="21"/>
                <w:lang w:val="en-US" w:eastAsia="zh-CN" w:bidi="ar-SA"/>
              </w:rPr>
            </w:pPr>
            <w:r>
              <w:rPr>
                <w:rFonts w:hint="eastAsia" w:eastAsia="方正仿宋_GB2312" w:cs="方正仿宋_GB2312"/>
                <w:szCs w:val="21"/>
              </w:rPr>
              <w:t>医学实验动物学</w:t>
            </w:r>
          </w:p>
        </w:tc>
        <w:tc>
          <w:tcPr>
            <w:tcW w:w="854" w:type="dxa"/>
            <w:vAlign w:val="center"/>
          </w:tcPr>
          <w:p>
            <w:pPr>
              <w:spacing w:line="240" w:lineRule="auto"/>
              <w:jc w:val="center"/>
              <w:rPr>
                <w:rFonts w:ascii="Times New Roman" w:hAnsi="Times New Roman" w:eastAsia="方正仿宋_GB2312" w:cs="方正仿宋_GB2312"/>
                <w:kern w:val="2"/>
                <w:sz w:val="21"/>
                <w:szCs w:val="21"/>
                <w:lang w:val="en-US" w:eastAsia="zh-CN" w:bidi="ar-SA"/>
              </w:rPr>
            </w:pPr>
            <w:r>
              <w:rPr>
                <w:rFonts w:eastAsia="方正仿宋_GB2312" w:cs="方正仿宋_GB2312"/>
                <w:szCs w:val="21"/>
              </w:rPr>
              <w:t>2</w:t>
            </w:r>
          </w:p>
        </w:tc>
        <w:tc>
          <w:tcPr>
            <w:tcW w:w="1070" w:type="dxa"/>
            <w:vAlign w:val="center"/>
          </w:tcPr>
          <w:p>
            <w:pPr>
              <w:spacing w:line="240" w:lineRule="auto"/>
              <w:jc w:val="center"/>
              <w:rPr>
                <w:rFonts w:hint="eastAsia" w:ascii="Times New Roman" w:hAnsi="Times New Roman" w:eastAsia="方正仿宋_GB2312" w:cs="方正仿宋_GB2312"/>
                <w:kern w:val="2"/>
                <w:sz w:val="21"/>
                <w:szCs w:val="21"/>
                <w:lang w:val="en-US" w:eastAsia="zh-CN" w:bidi="ar-SA"/>
              </w:rPr>
            </w:pPr>
            <w:r>
              <w:rPr>
                <w:rFonts w:eastAsia="方正仿宋_GB2312" w:cs="方正仿宋_GB2312"/>
                <w:szCs w:val="21"/>
              </w:rPr>
              <w:t>3</w:t>
            </w:r>
            <w:r>
              <w:rPr>
                <w:rFonts w:hint="eastAsia" w:eastAsia="方正仿宋_GB2312" w:cs="方正仿宋_GB2312"/>
                <w:szCs w:val="21"/>
                <w:lang w:val="en-US" w:eastAsia="zh-CN"/>
              </w:rPr>
              <w:t>2</w:t>
            </w:r>
          </w:p>
        </w:tc>
        <w:tc>
          <w:tcPr>
            <w:tcW w:w="750" w:type="dxa"/>
            <w:vMerge w:val="continue"/>
            <w:vAlign w:val="center"/>
          </w:tcPr>
          <w:p>
            <w:pPr>
              <w:spacing w:line="240" w:lineRule="auto"/>
              <w:jc w:val="center"/>
              <w:rPr>
                <w:rFonts w:hint="eastAsia" w:eastAsia="方正仿宋_GB2312" w:cs="方正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2" w:hRule="atLeast"/>
        </w:trPr>
        <w:tc>
          <w:tcPr>
            <w:tcW w:w="1563" w:type="dxa"/>
            <w:vMerge w:val="continue"/>
            <w:vAlign w:val="center"/>
          </w:tcPr>
          <w:p>
            <w:pPr>
              <w:spacing w:line="240" w:lineRule="auto"/>
              <w:jc w:val="center"/>
              <w:rPr>
                <w:rFonts w:eastAsia="方正仿宋_GB2312" w:cs="方正仿宋_GB2312"/>
                <w:szCs w:val="21"/>
              </w:rPr>
            </w:pPr>
          </w:p>
        </w:tc>
        <w:tc>
          <w:tcPr>
            <w:tcW w:w="2089" w:type="dxa"/>
            <w:vMerge w:val="restart"/>
            <w:vAlign w:val="center"/>
          </w:tcPr>
          <w:p>
            <w:pPr>
              <w:spacing w:line="240" w:lineRule="auto"/>
              <w:rPr>
                <w:rFonts w:hint="eastAsia" w:eastAsia="方正仿宋_GB2312" w:cs="方正仿宋_GB2312"/>
                <w:szCs w:val="21"/>
                <w:lang w:eastAsia="zh-CN"/>
              </w:rPr>
            </w:pPr>
            <w:r>
              <w:rPr>
                <w:rFonts w:hint="eastAsia" w:eastAsia="方正仿宋_GB2312" w:cs="方正仿宋_GB2312"/>
                <w:szCs w:val="21"/>
              </w:rPr>
              <w:t>专业课程</w:t>
            </w:r>
          </w:p>
        </w:tc>
        <w:tc>
          <w:tcPr>
            <w:tcW w:w="2491" w:type="dxa"/>
            <w:vAlign w:val="center"/>
          </w:tcPr>
          <w:p>
            <w:pPr>
              <w:spacing w:line="240" w:lineRule="auto"/>
              <w:rPr>
                <w:rFonts w:eastAsia="方正仿宋_GB2312" w:cs="方正仿宋_GB2312"/>
                <w:szCs w:val="21"/>
              </w:rPr>
            </w:pPr>
            <w:r>
              <w:rPr>
                <w:rFonts w:hint="eastAsia" w:eastAsia="方正仿宋_GB2312" w:cs="方正仿宋_GB2312"/>
                <w:szCs w:val="21"/>
              </w:rPr>
              <w:t>健康管理与健康促进</w:t>
            </w:r>
          </w:p>
        </w:tc>
        <w:tc>
          <w:tcPr>
            <w:tcW w:w="854" w:type="dxa"/>
            <w:vAlign w:val="center"/>
          </w:tcPr>
          <w:p>
            <w:pPr>
              <w:spacing w:line="240" w:lineRule="auto"/>
              <w:jc w:val="center"/>
              <w:rPr>
                <w:rFonts w:eastAsia="方正仿宋_GB2312" w:cs="方正仿宋_GB2312"/>
                <w:szCs w:val="21"/>
              </w:rPr>
            </w:pPr>
            <w:r>
              <w:rPr>
                <w:rFonts w:eastAsia="方正仿宋_GB2312" w:cs="方正仿宋_GB2312"/>
                <w:szCs w:val="21"/>
              </w:rPr>
              <w:t>2</w:t>
            </w:r>
          </w:p>
        </w:tc>
        <w:tc>
          <w:tcPr>
            <w:tcW w:w="1070" w:type="dxa"/>
            <w:vAlign w:val="center"/>
          </w:tcPr>
          <w:p>
            <w:pPr>
              <w:spacing w:line="240" w:lineRule="auto"/>
              <w:jc w:val="center"/>
              <w:rPr>
                <w:rFonts w:hint="eastAsia" w:eastAsia="方正仿宋_GB2312" w:cs="方正仿宋_GB2312"/>
                <w:szCs w:val="21"/>
                <w:lang w:eastAsia="zh-CN"/>
              </w:rPr>
            </w:pPr>
            <w:r>
              <w:rPr>
                <w:rFonts w:eastAsia="方正仿宋_GB2312" w:cs="方正仿宋_GB2312"/>
                <w:szCs w:val="21"/>
              </w:rPr>
              <w:t>3</w:t>
            </w:r>
            <w:r>
              <w:rPr>
                <w:rFonts w:hint="eastAsia" w:eastAsia="方正仿宋_GB2312" w:cs="方正仿宋_GB2312"/>
                <w:szCs w:val="21"/>
                <w:lang w:val="en-US" w:eastAsia="zh-CN"/>
              </w:rPr>
              <w:t>2</w:t>
            </w:r>
          </w:p>
        </w:tc>
        <w:tc>
          <w:tcPr>
            <w:tcW w:w="750" w:type="dxa"/>
            <w:vMerge w:val="continue"/>
            <w:vAlign w:val="center"/>
          </w:tcPr>
          <w:p>
            <w:pPr>
              <w:spacing w:line="240" w:lineRule="auto"/>
              <w:jc w:val="center"/>
              <w:rPr>
                <w:rFonts w:eastAsia="方正仿宋_GB2312" w:cs="方正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7" w:hRule="atLeast"/>
        </w:trPr>
        <w:tc>
          <w:tcPr>
            <w:tcW w:w="1563" w:type="dxa"/>
            <w:vMerge w:val="continue"/>
            <w:vAlign w:val="center"/>
          </w:tcPr>
          <w:p>
            <w:pPr>
              <w:spacing w:line="240" w:lineRule="auto"/>
              <w:jc w:val="center"/>
              <w:rPr>
                <w:rFonts w:eastAsia="方正仿宋_GB2312" w:cs="方正仿宋_GB2312"/>
                <w:szCs w:val="21"/>
              </w:rPr>
            </w:pPr>
          </w:p>
        </w:tc>
        <w:tc>
          <w:tcPr>
            <w:tcW w:w="2089" w:type="dxa"/>
            <w:vMerge w:val="continue"/>
            <w:vAlign w:val="center"/>
          </w:tcPr>
          <w:p>
            <w:pPr>
              <w:spacing w:line="240" w:lineRule="auto"/>
              <w:rPr>
                <w:rFonts w:eastAsia="方正仿宋_GB2312" w:cs="方正仿宋_GB2312"/>
                <w:szCs w:val="21"/>
              </w:rPr>
            </w:pPr>
          </w:p>
        </w:tc>
        <w:tc>
          <w:tcPr>
            <w:tcW w:w="2491" w:type="dxa"/>
            <w:vAlign w:val="center"/>
          </w:tcPr>
          <w:p>
            <w:pPr>
              <w:spacing w:line="240" w:lineRule="auto"/>
              <w:rPr>
                <w:rFonts w:eastAsia="方正仿宋_GB2312" w:cs="方正仿宋_GB2312"/>
                <w:szCs w:val="21"/>
              </w:rPr>
            </w:pPr>
            <w:r>
              <w:rPr>
                <w:rFonts w:hint="eastAsia" w:eastAsia="方正仿宋_GB2312" w:cs="方正仿宋_GB2312"/>
                <w:szCs w:val="21"/>
              </w:rPr>
              <w:t>全球健康</w:t>
            </w:r>
          </w:p>
        </w:tc>
        <w:tc>
          <w:tcPr>
            <w:tcW w:w="854" w:type="dxa"/>
            <w:vAlign w:val="center"/>
          </w:tcPr>
          <w:p>
            <w:pPr>
              <w:spacing w:line="240" w:lineRule="auto"/>
              <w:jc w:val="center"/>
              <w:rPr>
                <w:rFonts w:eastAsia="方正仿宋_GB2312" w:cs="方正仿宋_GB2312"/>
                <w:szCs w:val="21"/>
              </w:rPr>
            </w:pPr>
            <w:r>
              <w:rPr>
                <w:rFonts w:eastAsia="方正仿宋_GB2312" w:cs="方正仿宋_GB2312"/>
                <w:szCs w:val="21"/>
              </w:rPr>
              <w:t>2</w:t>
            </w:r>
          </w:p>
        </w:tc>
        <w:tc>
          <w:tcPr>
            <w:tcW w:w="1070" w:type="dxa"/>
            <w:vAlign w:val="center"/>
          </w:tcPr>
          <w:p>
            <w:pPr>
              <w:spacing w:line="240" w:lineRule="auto"/>
              <w:jc w:val="center"/>
              <w:rPr>
                <w:rFonts w:hint="eastAsia" w:eastAsia="方正仿宋_GB2312" w:cs="方正仿宋_GB2312"/>
                <w:szCs w:val="21"/>
                <w:lang w:eastAsia="zh-CN"/>
              </w:rPr>
            </w:pPr>
            <w:r>
              <w:rPr>
                <w:rFonts w:eastAsia="方正仿宋_GB2312" w:cs="方正仿宋_GB2312"/>
                <w:szCs w:val="21"/>
              </w:rPr>
              <w:t>3</w:t>
            </w:r>
            <w:r>
              <w:rPr>
                <w:rFonts w:hint="eastAsia" w:eastAsia="方正仿宋_GB2312" w:cs="方正仿宋_GB2312"/>
                <w:szCs w:val="21"/>
                <w:lang w:val="en-US" w:eastAsia="zh-CN"/>
              </w:rPr>
              <w:t>2</w:t>
            </w:r>
          </w:p>
        </w:tc>
        <w:tc>
          <w:tcPr>
            <w:tcW w:w="750" w:type="dxa"/>
            <w:vMerge w:val="continue"/>
            <w:vAlign w:val="center"/>
          </w:tcPr>
          <w:p>
            <w:pPr>
              <w:spacing w:line="240" w:lineRule="auto"/>
              <w:jc w:val="center"/>
              <w:rPr>
                <w:rFonts w:eastAsia="方正仿宋_GB2312" w:cs="方正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4" w:hRule="atLeast"/>
        </w:trPr>
        <w:tc>
          <w:tcPr>
            <w:tcW w:w="1563" w:type="dxa"/>
            <w:vMerge w:val="continue"/>
            <w:vAlign w:val="center"/>
          </w:tcPr>
          <w:p>
            <w:pPr>
              <w:spacing w:line="240" w:lineRule="auto"/>
              <w:jc w:val="center"/>
              <w:rPr>
                <w:rFonts w:eastAsia="方正仿宋_GB2312" w:cs="方正仿宋_GB2312"/>
                <w:szCs w:val="21"/>
              </w:rPr>
            </w:pPr>
          </w:p>
        </w:tc>
        <w:tc>
          <w:tcPr>
            <w:tcW w:w="2089" w:type="dxa"/>
            <w:vMerge w:val="continue"/>
            <w:vAlign w:val="center"/>
          </w:tcPr>
          <w:p>
            <w:pPr>
              <w:spacing w:line="240" w:lineRule="auto"/>
              <w:rPr>
                <w:rFonts w:eastAsia="方正仿宋_GB2312" w:cs="方正仿宋_GB2312"/>
                <w:szCs w:val="21"/>
              </w:rPr>
            </w:pPr>
          </w:p>
        </w:tc>
        <w:tc>
          <w:tcPr>
            <w:tcW w:w="2491" w:type="dxa"/>
            <w:vAlign w:val="center"/>
          </w:tcPr>
          <w:p>
            <w:pPr>
              <w:spacing w:line="240" w:lineRule="auto"/>
              <w:rPr>
                <w:rFonts w:eastAsia="方正仿宋_GB2312" w:cs="方正仿宋_GB2312"/>
                <w:szCs w:val="21"/>
              </w:rPr>
            </w:pPr>
            <w:r>
              <w:rPr>
                <w:rFonts w:hint="eastAsia" w:eastAsia="方正仿宋_GB2312" w:cs="方正仿宋_GB2312"/>
                <w:szCs w:val="21"/>
              </w:rPr>
              <w:t>高级医学统计学与统计软件</w:t>
            </w:r>
          </w:p>
        </w:tc>
        <w:tc>
          <w:tcPr>
            <w:tcW w:w="854" w:type="dxa"/>
            <w:vAlign w:val="center"/>
          </w:tcPr>
          <w:p>
            <w:pPr>
              <w:spacing w:line="240" w:lineRule="auto"/>
              <w:jc w:val="center"/>
              <w:rPr>
                <w:rFonts w:eastAsia="方正仿宋_GB2312" w:cs="方正仿宋_GB2312"/>
                <w:szCs w:val="21"/>
              </w:rPr>
            </w:pPr>
            <w:r>
              <w:rPr>
                <w:rFonts w:eastAsia="方正仿宋_GB2312" w:cs="方正仿宋_GB2312"/>
                <w:szCs w:val="21"/>
              </w:rPr>
              <w:t>2</w:t>
            </w:r>
          </w:p>
        </w:tc>
        <w:tc>
          <w:tcPr>
            <w:tcW w:w="1070" w:type="dxa"/>
            <w:vAlign w:val="center"/>
          </w:tcPr>
          <w:p>
            <w:pPr>
              <w:spacing w:line="240" w:lineRule="auto"/>
              <w:jc w:val="center"/>
              <w:rPr>
                <w:rFonts w:hint="eastAsia" w:eastAsia="方正仿宋_GB2312" w:cs="方正仿宋_GB2312"/>
                <w:szCs w:val="21"/>
                <w:lang w:eastAsia="zh-CN"/>
              </w:rPr>
            </w:pPr>
            <w:r>
              <w:rPr>
                <w:rFonts w:eastAsia="方正仿宋_GB2312" w:cs="方正仿宋_GB2312"/>
                <w:szCs w:val="21"/>
              </w:rPr>
              <w:t>3</w:t>
            </w:r>
            <w:r>
              <w:rPr>
                <w:rFonts w:hint="eastAsia" w:eastAsia="方正仿宋_GB2312" w:cs="方正仿宋_GB2312"/>
                <w:szCs w:val="21"/>
                <w:lang w:val="en-US" w:eastAsia="zh-CN"/>
              </w:rPr>
              <w:t>2</w:t>
            </w:r>
          </w:p>
        </w:tc>
        <w:tc>
          <w:tcPr>
            <w:tcW w:w="750" w:type="dxa"/>
            <w:vMerge w:val="continue"/>
            <w:vAlign w:val="center"/>
          </w:tcPr>
          <w:p>
            <w:pPr>
              <w:spacing w:line="240" w:lineRule="auto"/>
              <w:jc w:val="center"/>
              <w:rPr>
                <w:rFonts w:eastAsia="方正仿宋_GB2312" w:cs="方正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trPr>
        <w:tc>
          <w:tcPr>
            <w:tcW w:w="1563" w:type="dxa"/>
            <w:vMerge w:val="continue"/>
            <w:vAlign w:val="center"/>
          </w:tcPr>
          <w:p>
            <w:pPr>
              <w:spacing w:line="240" w:lineRule="auto"/>
              <w:jc w:val="center"/>
              <w:rPr>
                <w:rFonts w:eastAsia="方正仿宋_GB2312" w:cs="方正仿宋_GB2312"/>
                <w:szCs w:val="21"/>
              </w:rPr>
            </w:pPr>
          </w:p>
        </w:tc>
        <w:tc>
          <w:tcPr>
            <w:tcW w:w="2089" w:type="dxa"/>
            <w:vMerge w:val="continue"/>
            <w:vAlign w:val="center"/>
          </w:tcPr>
          <w:p>
            <w:pPr>
              <w:spacing w:line="240" w:lineRule="auto"/>
              <w:rPr>
                <w:rFonts w:eastAsia="方正仿宋_GB2312" w:cs="方正仿宋_GB2312"/>
                <w:szCs w:val="21"/>
              </w:rPr>
            </w:pPr>
          </w:p>
        </w:tc>
        <w:tc>
          <w:tcPr>
            <w:tcW w:w="2491" w:type="dxa"/>
            <w:vAlign w:val="center"/>
          </w:tcPr>
          <w:p>
            <w:pPr>
              <w:spacing w:line="240" w:lineRule="auto"/>
              <w:rPr>
                <w:rFonts w:eastAsia="方正仿宋_GB2312" w:cs="方正仿宋_GB2312"/>
                <w:szCs w:val="21"/>
              </w:rPr>
            </w:pPr>
            <w:r>
              <w:rPr>
                <w:rFonts w:hint="eastAsia" w:eastAsia="方正仿宋_GB2312" w:cs="方正仿宋_GB2312"/>
                <w:szCs w:val="21"/>
              </w:rPr>
              <w:t>高级营养学</w:t>
            </w:r>
          </w:p>
        </w:tc>
        <w:tc>
          <w:tcPr>
            <w:tcW w:w="854" w:type="dxa"/>
            <w:vAlign w:val="center"/>
          </w:tcPr>
          <w:p>
            <w:pPr>
              <w:spacing w:line="240" w:lineRule="auto"/>
              <w:jc w:val="center"/>
              <w:rPr>
                <w:rFonts w:eastAsia="方正仿宋_GB2312" w:cs="方正仿宋_GB2312"/>
                <w:szCs w:val="21"/>
              </w:rPr>
            </w:pPr>
            <w:r>
              <w:rPr>
                <w:rFonts w:eastAsia="方正仿宋_GB2312" w:cs="方正仿宋_GB2312"/>
                <w:szCs w:val="21"/>
              </w:rPr>
              <w:t>2</w:t>
            </w:r>
          </w:p>
        </w:tc>
        <w:tc>
          <w:tcPr>
            <w:tcW w:w="1070" w:type="dxa"/>
            <w:vAlign w:val="center"/>
          </w:tcPr>
          <w:p>
            <w:pPr>
              <w:spacing w:line="240" w:lineRule="auto"/>
              <w:jc w:val="center"/>
              <w:rPr>
                <w:rFonts w:hint="eastAsia" w:eastAsia="方正仿宋_GB2312" w:cs="方正仿宋_GB2312"/>
                <w:szCs w:val="21"/>
                <w:lang w:eastAsia="zh-CN"/>
              </w:rPr>
            </w:pPr>
            <w:r>
              <w:rPr>
                <w:rFonts w:eastAsia="方正仿宋_GB2312" w:cs="方正仿宋_GB2312"/>
                <w:szCs w:val="21"/>
              </w:rPr>
              <w:t>3</w:t>
            </w:r>
            <w:r>
              <w:rPr>
                <w:rFonts w:hint="eastAsia" w:eastAsia="方正仿宋_GB2312" w:cs="方正仿宋_GB2312"/>
                <w:szCs w:val="21"/>
                <w:lang w:val="en-US" w:eastAsia="zh-CN"/>
              </w:rPr>
              <w:t>2</w:t>
            </w:r>
          </w:p>
        </w:tc>
        <w:tc>
          <w:tcPr>
            <w:tcW w:w="750" w:type="dxa"/>
            <w:vMerge w:val="continue"/>
            <w:vAlign w:val="center"/>
          </w:tcPr>
          <w:p>
            <w:pPr>
              <w:spacing w:line="240" w:lineRule="auto"/>
              <w:jc w:val="center"/>
              <w:rPr>
                <w:rFonts w:eastAsia="方正仿宋_GB2312" w:cs="方正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9" w:hRule="atLeast"/>
        </w:trPr>
        <w:tc>
          <w:tcPr>
            <w:tcW w:w="1563" w:type="dxa"/>
            <w:vMerge w:val="continue"/>
            <w:vAlign w:val="center"/>
          </w:tcPr>
          <w:p>
            <w:pPr>
              <w:spacing w:line="240" w:lineRule="auto"/>
              <w:jc w:val="center"/>
              <w:rPr>
                <w:rFonts w:eastAsia="方正仿宋_GB2312" w:cs="方正仿宋_GB2312"/>
                <w:szCs w:val="21"/>
              </w:rPr>
            </w:pPr>
          </w:p>
        </w:tc>
        <w:tc>
          <w:tcPr>
            <w:tcW w:w="2089" w:type="dxa"/>
            <w:vMerge w:val="continue"/>
            <w:vAlign w:val="center"/>
          </w:tcPr>
          <w:p>
            <w:pPr>
              <w:spacing w:line="240" w:lineRule="auto"/>
              <w:rPr>
                <w:rFonts w:eastAsia="方正仿宋_GB2312" w:cs="方正仿宋_GB2312"/>
                <w:szCs w:val="21"/>
              </w:rPr>
            </w:pPr>
          </w:p>
        </w:tc>
        <w:tc>
          <w:tcPr>
            <w:tcW w:w="2491" w:type="dxa"/>
            <w:vAlign w:val="center"/>
          </w:tcPr>
          <w:p>
            <w:pPr>
              <w:spacing w:line="240" w:lineRule="auto"/>
              <w:rPr>
                <w:rFonts w:eastAsia="方正仿宋_GB2312" w:cs="方正仿宋_GB2312"/>
                <w:szCs w:val="21"/>
              </w:rPr>
            </w:pPr>
            <w:r>
              <w:rPr>
                <w:rFonts w:hint="eastAsia" w:eastAsia="方正仿宋_GB2312" w:cs="方正仿宋_GB2312"/>
                <w:szCs w:val="21"/>
              </w:rPr>
              <w:t>环境与健康风险评价和管理</w:t>
            </w:r>
          </w:p>
        </w:tc>
        <w:tc>
          <w:tcPr>
            <w:tcW w:w="854" w:type="dxa"/>
            <w:vAlign w:val="center"/>
          </w:tcPr>
          <w:p>
            <w:pPr>
              <w:spacing w:line="240" w:lineRule="auto"/>
              <w:jc w:val="center"/>
              <w:rPr>
                <w:rFonts w:eastAsia="方正仿宋_GB2312" w:cs="方正仿宋_GB2312"/>
                <w:szCs w:val="21"/>
              </w:rPr>
            </w:pPr>
            <w:r>
              <w:rPr>
                <w:rFonts w:eastAsia="方正仿宋_GB2312" w:cs="方正仿宋_GB2312"/>
                <w:szCs w:val="21"/>
              </w:rPr>
              <w:t>2</w:t>
            </w:r>
          </w:p>
        </w:tc>
        <w:tc>
          <w:tcPr>
            <w:tcW w:w="1070" w:type="dxa"/>
            <w:vAlign w:val="center"/>
          </w:tcPr>
          <w:p>
            <w:pPr>
              <w:spacing w:line="240" w:lineRule="auto"/>
              <w:jc w:val="center"/>
              <w:rPr>
                <w:rFonts w:hint="eastAsia" w:eastAsia="方正仿宋_GB2312" w:cs="方正仿宋_GB2312"/>
                <w:szCs w:val="21"/>
                <w:lang w:eastAsia="zh-CN"/>
              </w:rPr>
            </w:pPr>
            <w:r>
              <w:rPr>
                <w:rFonts w:eastAsia="方正仿宋_GB2312" w:cs="方正仿宋_GB2312"/>
                <w:szCs w:val="21"/>
              </w:rPr>
              <w:t>3</w:t>
            </w:r>
            <w:r>
              <w:rPr>
                <w:rFonts w:hint="eastAsia" w:eastAsia="方正仿宋_GB2312" w:cs="方正仿宋_GB2312"/>
                <w:szCs w:val="21"/>
                <w:lang w:val="en-US" w:eastAsia="zh-CN"/>
              </w:rPr>
              <w:t>2</w:t>
            </w:r>
          </w:p>
        </w:tc>
        <w:tc>
          <w:tcPr>
            <w:tcW w:w="750" w:type="dxa"/>
            <w:vMerge w:val="continue"/>
            <w:vAlign w:val="center"/>
          </w:tcPr>
          <w:p>
            <w:pPr>
              <w:spacing w:line="240" w:lineRule="auto"/>
              <w:jc w:val="center"/>
              <w:rPr>
                <w:rFonts w:eastAsia="方正仿宋_GB2312" w:cs="方正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2" w:hRule="atLeast"/>
        </w:trPr>
        <w:tc>
          <w:tcPr>
            <w:tcW w:w="1563" w:type="dxa"/>
            <w:vMerge w:val="continue"/>
            <w:vAlign w:val="center"/>
          </w:tcPr>
          <w:p>
            <w:pPr>
              <w:spacing w:line="240" w:lineRule="auto"/>
              <w:jc w:val="center"/>
              <w:rPr>
                <w:rFonts w:eastAsia="方正仿宋_GB2312" w:cs="方正仿宋_GB2312"/>
                <w:szCs w:val="21"/>
              </w:rPr>
            </w:pPr>
          </w:p>
        </w:tc>
        <w:tc>
          <w:tcPr>
            <w:tcW w:w="2089" w:type="dxa"/>
            <w:vMerge w:val="continue"/>
            <w:vAlign w:val="center"/>
          </w:tcPr>
          <w:p>
            <w:pPr>
              <w:spacing w:line="240" w:lineRule="auto"/>
              <w:rPr>
                <w:rFonts w:eastAsia="方正仿宋_GB2312" w:cs="方正仿宋_GB2312"/>
                <w:szCs w:val="21"/>
              </w:rPr>
            </w:pPr>
          </w:p>
        </w:tc>
        <w:tc>
          <w:tcPr>
            <w:tcW w:w="2491" w:type="dxa"/>
            <w:vAlign w:val="center"/>
          </w:tcPr>
          <w:p>
            <w:pPr>
              <w:spacing w:line="240" w:lineRule="auto"/>
              <w:rPr>
                <w:rFonts w:eastAsia="方正仿宋_GB2312" w:cs="方正仿宋_GB2312"/>
                <w:szCs w:val="21"/>
              </w:rPr>
            </w:pPr>
            <w:r>
              <w:rPr>
                <w:rFonts w:hint="eastAsia" w:eastAsia="方正仿宋_GB2312" w:cs="方正仿宋_GB2312"/>
                <w:szCs w:val="21"/>
              </w:rPr>
              <w:t>现代毒理学进展与应用</w:t>
            </w:r>
          </w:p>
        </w:tc>
        <w:tc>
          <w:tcPr>
            <w:tcW w:w="854" w:type="dxa"/>
            <w:vAlign w:val="center"/>
          </w:tcPr>
          <w:p>
            <w:pPr>
              <w:spacing w:line="240" w:lineRule="auto"/>
              <w:jc w:val="center"/>
              <w:rPr>
                <w:rFonts w:eastAsia="方正仿宋_GB2312" w:cs="方正仿宋_GB2312"/>
                <w:szCs w:val="21"/>
              </w:rPr>
            </w:pPr>
            <w:r>
              <w:rPr>
                <w:rFonts w:eastAsia="方正仿宋_GB2312" w:cs="方正仿宋_GB2312"/>
                <w:szCs w:val="21"/>
              </w:rPr>
              <w:t>2</w:t>
            </w:r>
          </w:p>
        </w:tc>
        <w:tc>
          <w:tcPr>
            <w:tcW w:w="1070" w:type="dxa"/>
            <w:vAlign w:val="center"/>
          </w:tcPr>
          <w:p>
            <w:pPr>
              <w:spacing w:line="240" w:lineRule="auto"/>
              <w:jc w:val="center"/>
              <w:rPr>
                <w:rFonts w:hint="eastAsia" w:eastAsia="方正仿宋_GB2312" w:cs="方正仿宋_GB2312"/>
                <w:szCs w:val="21"/>
                <w:lang w:eastAsia="zh-CN"/>
              </w:rPr>
            </w:pPr>
            <w:r>
              <w:rPr>
                <w:rFonts w:eastAsia="方正仿宋_GB2312" w:cs="方正仿宋_GB2312"/>
                <w:szCs w:val="21"/>
              </w:rPr>
              <w:t>3</w:t>
            </w:r>
            <w:r>
              <w:rPr>
                <w:rFonts w:hint="eastAsia" w:eastAsia="方正仿宋_GB2312" w:cs="方正仿宋_GB2312"/>
                <w:szCs w:val="21"/>
                <w:lang w:val="en-US" w:eastAsia="zh-CN"/>
              </w:rPr>
              <w:t>2</w:t>
            </w:r>
          </w:p>
        </w:tc>
        <w:tc>
          <w:tcPr>
            <w:tcW w:w="750" w:type="dxa"/>
            <w:vMerge w:val="continue"/>
            <w:vAlign w:val="center"/>
          </w:tcPr>
          <w:p>
            <w:pPr>
              <w:spacing w:line="240" w:lineRule="auto"/>
              <w:jc w:val="center"/>
              <w:rPr>
                <w:rFonts w:eastAsia="方正仿宋_GB2312" w:cs="方正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trPr>
        <w:tc>
          <w:tcPr>
            <w:tcW w:w="1563" w:type="dxa"/>
            <w:vAlign w:val="center"/>
          </w:tcPr>
          <w:p>
            <w:pPr>
              <w:spacing w:line="240" w:lineRule="auto"/>
              <w:jc w:val="center"/>
              <w:rPr>
                <w:rFonts w:eastAsia="方正仿宋_GB2312" w:cs="方正仿宋_GB2312"/>
                <w:szCs w:val="21"/>
              </w:rPr>
            </w:pPr>
            <w:r>
              <w:rPr>
                <w:rFonts w:hint="eastAsia" w:eastAsia="方正仿宋_GB2312" w:cs="方正仿宋_GB2312"/>
                <w:szCs w:val="21"/>
              </w:rPr>
              <w:t>合计学分</w:t>
            </w:r>
          </w:p>
        </w:tc>
        <w:tc>
          <w:tcPr>
            <w:tcW w:w="2089" w:type="dxa"/>
            <w:vAlign w:val="center"/>
          </w:tcPr>
          <w:p>
            <w:pPr>
              <w:spacing w:line="240" w:lineRule="auto"/>
              <w:rPr>
                <w:rFonts w:eastAsia="方正仿宋_GB2312" w:cs="方正仿宋_GB2312"/>
                <w:szCs w:val="21"/>
              </w:rPr>
            </w:pPr>
          </w:p>
        </w:tc>
        <w:tc>
          <w:tcPr>
            <w:tcW w:w="2491" w:type="dxa"/>
            <w:vAlign w:val="center"/>
          </w:tcPr>
          <w:p>
            <w:pPr>
              <w:spacing w:line="240" w:lineRule="auto"/>
              <w:jc w:val="center"/>
              <w:rPr>
                <w:rFonts w:eastAsia="方正仿宋_GB2312" w:cs="方正仿宋_GB2312"/>
                <w:szCs w:val="21"/>
              </w:rPr>
            </w:pPr>
          </w:p>
        </w:tc>
        <w:tc>
          <w:tcPr>
            <w:tcW w:w="854" w:type="dxa"/>
            <w:vAlign w:val="center"/>
          </w:tcPr>
          <w:p>
            <w:pPr>
              <w:spacing w:line="240" w:lineRule="auto"/>
              <w:jc w:val="center"/>
              <w:rPr>
                <w:rFonts w:eastAsia="方正仿宋_GB2312" w:cs="方正仿宋_GB2312"/>
                <w:szCs w:val="21"/>
              </w:rPr>
            </w:pPr>
            <w:r>
              <w:rPr>
                <w:rFonts w:eastAsia="方正仿宋_GB2312" w:cs="方正仿宋_GB2312"/>
                <w:szCs w:val="21"/>
              </w:rPr>
              <w:t>20</w:t>
            </w:r>
          </w:p>
        </w:tc>
        <w:tc>
          <w:tcPr>
            <w:tcW w:w="1070" w:type="dxa"/>
            <w:vAlign w:val="center"/>
          </w:tcPr>
          <w:p>
            <w:pPr>
              <w:spacing w:line="240" w:lineRule="auto"/>
              <w:jc w:val="center"/>
              <w:rPr>
                <w:rFonts w:eastAsia="方正仿宋_GB2312" w:cs="方正仿宋_GB2312"/>
                <w:szCs w:val="21"/>
              </w:rPr>
            </w:pPr>
          </w:p>
        </w:tc>
        <w:tc>
          <w:tcPr>
            <w:tcW w:w="750" w:type="dxa"/>
            <w:vAlign w:val="center"/>
          </w:tcPr>
          <w:p>
            <w:pPr>
              <w:spacing w:line="240" w:lineRule="auto"/>
              <w:jc w:val="center"/>
              <w:rPr>
                <w:rFonts w:eastAsia="方正仿宋_GB2312" w:cs="方正仿宋_GB2312"/>
                <w:szCs w:val="21"/>
              </w:rPr>
            </w:pPr>
          </w:p>
        </w:tc>
      </w:tr>
    </w:tbl>
    <w:p>
      <w:pPr>
        <w:pStyle w:val="2"/>
        <w:spacing w:line="560" w:lineRule="exact"/>
      </w:pPr>
    </w:p>
    <w:p>
      <w:pPr>
        <w:spacing w:line="560" w:lineRule="exact"/>
      </w:pPr>
    </w:p>
    <w:p>
      <w:pPr>
        <w:pStyle w:val="2"/>
        <w:spacing w:line="560" w:lineRule="exact"/>
        <w:rPr>
          <w:rFonts w:eastAsia="黑体" w:cs="黑体"/>
          <w:bCs w:val="0"/>
          <w:sz w:val="32"/>
          <w:szCs w:val="32"/>
        </w:rPr>
        <w:sectPr>
          <w:pgSz w:w="11906" w:h="16838"/>
          <w:pgMar w:top="2098" w:right="1474" w:bottom="1984" w:left="1587" w:header="851" w:footer="992" w:gutter="0"/>
          <w:pgNumType w:fmt="numberInDash" w:start="1"/>
          <w:cols w:space="425" w:num="1"/>
          <w:docGrid w:type="lines" w:linePitch="312" w:charSpace="0"/>
        </w:sectPr>
      </w:pPr>
    </w:p>
    <w:p>
      <w:pPr>
        <w:pStyle w:val="2"/>
        <w:spacing w:line="560" w:lineRule="exact"/>
        <w:rPr>
          <w:rFonts w:eastAsia="黑体" w:cs="黑体"/>
          <w:b w:val="0"/>
          <w:kern w:val="2"/>
          <w:sz w:val="32"/>
          <w:szCs w:val="32"/>
        </w:rPr>
      </w:pPr>
      <w:bookmarkStart w:id="25" w:name="_Toc43416613"/>
      <w:bookmarkEnd w:id="25"/>
      <w:bookmarkStart w:id="26" w:name="_Toc43416614"/>
      <w:bookmarkEnd w:id="26"/>
      <w:bookmarkStart w:id="27" w:name="_Toc43416615"/>
      <w:bookmarkEnd w:id="27"/>
      <w:bookmarkStart w:id="28" w:name="_Toc43805984"/>
      <w:r>
        <w:rPr>
          <w:rFonts w:hint="eastAsia" w:eastAsia="黑体" w:cs="黑体"/>
          <w:b w:val="0"/>
          <w:kern w:val="2"/>
          <w:sz w:val="32"/>
          <w:szCs w:val="32"/>
        </w:rPr>
        <w:t>附件：2.实践总结报告的主题及格式</w:t>
      </w:r>
      <w:bookmarkEnd w:id="28"/>
      <w:r>
        <w:rPr>
          <w:rFonts w:hint="eastAsia" w:eastAsia="黑体" w:cs="黑体"/>
          <w:b w:val="0"/>
          <w:kern w:val="2"/>
          <w:sz w:val="32"/>
          <w:szCs w:val="32"/>
        </w:rPr>
        <w:t>（参考）</w:t>
      </w:r>
    </w:p>
    <w:p>
      <w:pPr>
        <w:snapToGrid w:val="0"/>
        <w:spacing w:beforeLines="25" w:line="560" w:lineRule="exact"/>
        <w:ind w:firstLine="640" w:firstLineChars="200"/>
        <w:rPr>
          <w:rFonts w:eastAsia="仿宋_GB2312"/>
          <w:sz w:val="32"/>
          <w:szCs w:val="32"/>
        </w:rPr>
      </w:pPr>
      <w:r>
        <w:rPr>
          <w:rFonts w:hint="eastAsia" w:eastAsia="仿宋_GB2312"/>
          <w:sz w:val="32"/>
          <w:szCs w:val="32"/>
        </w:rPr>
        <w:t>硕士生在完成公共卫生实践技能训练后，需撰写符合下列主题的实践总结报告，字数不少于</w:t>
      </w:r>
      <w:r>
        <w:rPr>
          <w:rFonts w:eastAsia="仿宋_GB2312"/>
          <w:sz w:val="32"/>
          <w:szCs w:val="32"/>
        </w:rPr>
        <w:t>3000字。报告主题要求如下：</w:t>
      </w:r>
    </w:p>
    <w:p>
      <w:pPr>
        <w:snapToGrid w:val="0"/>
        <w:spacing w:beforeLines="25" w:line="560" w:lineRule="exact"/>
        <w:ind w:firstLine="640" w:firstLineChars="200"/>
        <w:rPr>
          <w:rFonts w:eastAsia="黑体" w:cs="黑体"/>
          <w:bCs/>
          <w:sz w:val="32"/>
          <w:szCs w:val="32"/>
        </w:rPr>
      </w:pPr>
      <w:r>
        <w:rPr>
          <w:rFonts w:hint="eastAsia" w:eastAsia="黑体" w:cs="黑体"/>
          <w:bCs/>
          <w:sz w:val="32"/>
          <w:szCs w:val="32"/>
        </w:rPr>
        <w:t>一、基于公共卫生实践的应用性研究：</w:t>
      </w:r>
    </w:p>
    <w:p>
      <w:pPr>
        <w:snapToGrid w:val="0"/>
        <w:spacing w:beforeLines="25" w:line="560" w:lineRule="exact"/>
        <w:ind w:firstLine="640" w:firstLineChars="200"/>
        <w:rPr>
          <w:rFonts w:eastAsia="仿宋_GB2312"/>
          <w:sz w:val="32"/>
          <w:szCs w:val="32"/>
        </w:rPr>
      </w:pPr>
      <w:r>
        <w:rPr>
          <w:rFonts w:hint="eastAsia" w:eastAsia="仿宋_GB2312"/>
          <w:sz w:val="32"/>
          <w:szCs w:val="32"/>
        </w:rPr>
        <w:t>选题应密切联系公共卫生实践，可包括案例分析、</w:t>
      </w:r>
      <w:r>
        <w:rPr>
          <w:rFonts w:eastAsia="仿宋_GB2312"/>
          <w:sz w:val="32"/>
          <w:szCs w:val="32"/>
        </w:rPr>
        <w:t>Meta分析与系统评价、健康教育、健康促进、疾病监测、疾病管理、环境安全与健康风险评估、营养与食品安全等方面的研究，研究方法可包括现况调查、相关因素分析、定性访谈和小规模的干预及效果评价。</w:t>
      </w:r>
    </w:p>
    <w:p>
      <w:pPr>
        <w:snapToGrid w:val="0"/>
        <w:spacing w:beforeLines="25" w:line="560" w:lineRule="exact"/>
        <w:ind w:firstLine="640" w:firstLineChars="200"/>
        <w:rPr>
          <w:rFonts w:eastAsia="黑体" w:cs="黑体"/>
          <w:bCs/>
          <w:sz w:val="32"/>
          <w:szCs w:val="32"/>
        </w:rPr>
      </w:pPr>
      <w:r>
        <w:rPr>
          <w:rFonts w:hint="eastAsia" w:eastAsia="黑体" w:cs="黑体"/>
          <w:bCs/>
          <w:sz w:val="32"/>
          <w:szCs w:val="32"/>
        </w:rPr>
        <w:t>二、公共卫生新技术的研究：</w:t>
      </w:r>
    </w:p>
    <w:p>
      <w:pPr>
        <w:snapToGrid w:val="0"/>
        <w:spacing w:beforeLines="25" w:line="560" w:lineRule="exact"/>
        <w:ind w:firstLine="640" w:firstLineChars="200"/>
        <w:rPr>
          <w:rFonts w:eastAsia="仿宋_GB2312"/>
          <w:sz w:val="32"/>
          <w:szCs w:val="32"/>
        </w:rPr>
      </w:pPr>
      <w:r>
        <w:rPr>
          <w:rFonts w:hint="eastAsia" w:eastAsia="仿宋_GB2312"/>
          <w:sz w:val="32"/>
          <w:szCs w:val="32"/>
        </w:rPr>
        <w:t>在一定范围内进行公共卫生相关新技术和</w:t>
      </w:r>
      <w:r>
        <w:rPr>
          <w:rFonts w:eastAsia="仿宋_GB2312"/>
          <w:sz w:val="32"/>
          <w:szCs w:val="32"/>
        </w:rPr>
        <w:t>/或新设备的开发、应用，并进行效果评价。研究应突出创新性、实用性和实际价值，且具有一定的难度和工作量。</w:t>
      </w:r>
    </w:p>
    <w:p>
      <w:pPr>
        <w:snapToGrid w:val="0"/>
        <w:spacing w:beforeLines="25" w:line="560" w:lineRule="exact"/>
        <w:ind w:firstLine="640" w:firstLineChars="200"/>
        <w:rPr>
          <w:rFonts w:eastAsia="黑体" w:cs="黑体"/>
          <w:bCs/>
          <w:sz w:val="32"/>
          <w:szCs w:val="32"/>
        </w:rPr>
      </w:pPr>
      <w:r>
        <w:rPr>
          <w:rFonts w:hint="eastAsia" w:eastAsia="黑体" w:cs="黑体"/>
          <w:bCs/>
          <w:sz w:val="32"/>
          <w:szCs w:val="32"/>
        </w:rPr>
        <w:t>三、健康管理政策相关研究：</w:t>
      </w:r>
    </w:p>
    <w:p>
      <w:pPr>
        <w:snapToGrid w:val="0"/>
        <w:spacing w:beforeLines="25" w:line="560" w:lineRule="exact"/>
        <w:ind w:firstLine="640" w:firstLineChars="200"/>
        <w:rPr>
          <w:rFonts w:eastAsia="仿宋_GB2312"/>
          <w:sz w:val="32"/>
          <w:szCs w:val="32"/>
        </w:rPr>
      </w:pPr>
      <w:r>
        <w:rPr>
          <w:rFonts w:hint="eastAsia" w:eastAsia="仿宋_GB2312"/>
          <w:sz w:val="32"/>
          <w:szCs w:val="32"/>
        </w:rPr>
        <w:t>在现况调查和</w:t>
      </w:r>
      <w:r>
        <w:rPr>
          <w:rFonts w:eastAsia="仿宋_GB2312"/>
          <w:sz w:val="32"/>
          <w:szCs w:val="32"/>
        </w:rPr>
        <w:t>/或文献分析的基础上，运用政策分析的基本理论和方法，分析健康管理领域存在的问题及其根源，深入剖析并提出政策建议。</w:t>
      </w:r>
    </w:p>
    <w:p>
      <w:pPr>
        <w:pStyle w:val="2"/>
        <w:spacing w:line="560" w:lineRule="exact"/>
        <w:rPr>
          <w:rFonts w:hint="eastAsia" w:eastAsia="黑体" w:cs="黑体"/>
          <w:b w:val="0"/>
          <w:kern w:val="2"/>
          <w:sz w:val="32"/>
          <w:szCs w:val="32"/>
        </w:rPr>
      </w:pPr>
      <w:bookmarkStart w:id="29" w:name="_Toc43803681"/>
      <w:bookmarkStart w:id="30" w:name="_Toc43803220"/>
      <w:bookmarkStart w:id="31" w:name="_Toc43805985"/>
    </w:p>
    <w:p>
      <w:pPr>
        <w:rPr>
          <w:rFonts w:hint="eastAsia"/>
        </w:rPr>
      </w:pPr>
    </w:p>
    <w:p>
      <w:pPr>
        <w:pStyle w:val="2"/>
        <w:rPr>
          <w:rFonts w:hint="eastAsia"/>
        </w:rPr>
      </w:pPr>
    </w:p>
    <w:p>
      <w:pPr>
        <w:pStyle w:val="2"/>
        <w:spacing w:line="560" w:lineRule="exact"/>
        <w:ind w:firstLine="640" w:firstLineChars="200"/>
        <w:rPr>
          <w:rFonts w:eastAsia="黑体" w:cs="黑体"/>
          <w:b w:val="0"/>
          <w:kern w:val="2"/>
          <w:sz w:val="32"/>
          <w:szCs w:val="32"/>
        </w:rPr>
      </w:pPr>
      <w:r>
        <w:rPr>
          <w:rFonts w:hint="eastAsia" w:eastAsia="黑体" w:cs="黑体"/>
          <w:b w:val="0"/>
          <w:kern w:val="2"/>
          <w:sz w:val="32"/>
          <w:szCs w:val="32"/>
        </w:rPr>
        <w:t>实践总结报告的格式要求同医学论文，参考如下：</w:t>
      </w:r>
      <w:bookmarkEnd w:id="29"/>
      <w:bookmarkEnd w:id="30"/>
      <w:bookmarkEnd w:id="31"/>
    </w:p>
    <w:tbl>
      <w:tblPr>
        <w:tblStyle w:val="12"/>
        <w:tblW w:w="0" w:type="auto"/>
        <w:tblInd w:w="0" w:type="dxa"/>
        <w:tblLayout w:type="autofit"/>
        <w:tblCellMar>
          <w:top w:w="0" w:type="dxa"/>
          <w:left w:w="108" w:type="dxa"/>
          <w:bottom w:w="0" w:type="dxa"/>
          <w:right w:w="108" w:type="dxa"/>
        </w:tblCellMar>
      </w:tblPr>
      <w:tblGrid>
        <w:gridCol w:w="8460"/>
      </w:tblGrid>
      <w:tr>
        <w:tblPrEx>
          <w:tblCellMar>
            <w:top w:w="0" w:type="dxa"/>
            <w:left w:w="108" w:type="dxa"/>
            <w:bottom w:w="0" w:type="dxa"/>
            <w:right w:w="108" w:type="dxa"/>
          </w:tblCellMar>
        </w:tblPrEx>
        <w:trPr>
          <w:trHeight w:val="1167" w:hRule="atLeast"/>
        </w:trPr>
        <w:tc>
          <w:tcPr>
            <w:tcW w:w="8460" w:type="dxa"/>
          </w:tcPr>
          <w:p>
            <w:pPr>
              <w:spacing w:line="560" w:lineRule="exact"/>
              <w:rPr>
                <w:rFonts w:eastAsia="仿宋_GB2312" w:cs="Calibri"/>
              </w:rPr>
            </w:pPr>
          </w:p>
          <w:p>
            <w:pPr>
              <w:spacing w:line="560" w:lineRule="exact"/>
              <w:rPr>
                <w:rFonts w:eastAsia="仿宋_GB2312" w:cs="Calibri"/>
              </w:rPr>
            </w:pPr>
            <w:r>
              <w:rPr>
                <w:rFonts w:eastAsia="仿宋_GB2312" w:cs="Calibri"/>
                <w:szCs w:val="21"/>
              </w:rPr>
              <w:drawing>
                <wp:anchor distT="0" distB="0" distL="114300" distR="114300" simplePos="0" relativeHeight="251659264" behindDoc="0" locked="0" layoutInCell="1" allowOverlap="1">
                  <wp:simplePos x="0" y="0"/>
                  <wp:positionH relativeFrom="column">
                    <wp:posOffset>149225</wp:posOffset>
                  </wp:positionH>
                  <wp:positionV relativeFrom="paragraph">
                    <wp:posOffset>111760</wp:posOffset>
                  </wp:positionV>
                  <wp:extent cx="4994275" cy="3148330"/>
                  <wp:effectExtent l="0" t="0" r="15875" b="13970"/>
                  <wp:wrapNone/>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4994275" cy="3148330"/>
                          </a:xfrm>
                          <a:prstGeom prst="rect">
                            <a:avLst/>
                          </a:prstGeom>
                          <a:noFill/>
                          <a:ln>
                            <a:noFill/>
                          </a:ln>
                        </pic:spPr>
                      </pic:pic>
                    </a:graphicData>
                  </a:graphic>
                </wp:anchor>
              </w:drawing>
            </w:r>
          </w:p>
          <w:p>
            <w:pPr>
              <w:spacing w:line="560" w:lineRule="exact"/>
              <w:rPr>
                <w:rFonts w:eastAsia="仿宋_GB2312" w:cs="Calibri"/>
              </w:rPr>
            </w:pPr>
          </w:p>
          <w:p>
            <w:pPr>
              <w:spacing w:line="560" w:lineRule="exact"/>
              <w:rPr>
                <w:rFonts w:eastAsia="仿宋_GB2312" w:cs="Calibri"/>
              </w:rPr>
            </w:pPr>
          </w:p>
          <w:p>
            <w:pPr>
              <w:spacing w:line="560" w:lineRule="exact"/>
              <w:rPr>
                <w:rFonts w:eastAsia="仿宋_GB2312" w:cs="Calibri"/>
              </w:rPr>
            </w:pPr>
          </w:p>
          <w:p>
            <w:pPr>
              <w:spacing w:line="560" w:lineRule="exact"/>
              <w:rPr>
                <w:rFonts w:eastAsia="仿宋_GB2312" w:cs="Calibri"/>
              </w:rPr>
            </w:pPr>
          </w:p>
          <w:p>
            <w:pPr>
              <w:spacing w:line="560" w:lineRule="exact"/>
              <w:rPr>
                <w:rFonts w:eastAsia="仿宋_GB2312" w:cs="Calibri"/>
              </w:rPr>
            </w:pPr>
          </w:p>
          <w:p>
            <w:pPr>
              <w:spacing w:line="560" w:lineRule="exact"/>
              <w:rPr>
                <w:rFonts w:eastAsia="仿宋_GB2312" w:cs="Calibri"/>
              </w:rPr>
            </w:pPr>
          </w:p>
          <w:p>
            <w:pPr>
              <w:spacing w:line="560" w:lineRule="exact"/>
              <w:rPr>
                <w:rFonts w:eastAsia="仿宋_GB2312" w:cs="Calibri"/>
              </w:rPr>
            </w:pPr>
          </w:p>
          <w:p>
            <w:pPr>
              <w:spacing w:line="560" w:lineRule="exact"/>
              <w:rPr>
                <w:rFonts w:eastAsia="仿宋_GB2312" w:cs="Calibri"/>
              </w:rPr>
            </w:pPr>
          </w:p>
          <w:p>
            <w:pPr>
              <w:spacing w:line="560" w:lineRule="exact"/>
              <w:rPr>
                <w:rFonts w:eastAsia="仿宋_GB2312" w:cs="Calibri"/>
              </w:rPr>
            </w:pPr>
          </w:p>
          <w:p>
            <w:pPr>
              <w:spacing w:line="560" w:lineRule="exact"/>
              <w:rPr>
                <w:rFonts w:eastAsia="仿宋_GB2312" w:cs="Calibri"/>
              </w:rPr>
            </w:pPr>
          </w:p>
          <w:p>
            <w:pPr>
              <w:spacing w:line="560" w:lineRule="exact"/>
              <w:rPr>
                <w:rFonts w:eastAsia="仿宋_GB2312" w:cs="Calibri"/>
              </w:rPr>
            </w:pPr>
          </w:p>
          <w:p>
            <w:pPr>
              <w:spacing w:line="560" w:lineRule="exact"/>
              <w:rPr>
                <w:rFonts w:eastAsia="仿宋_GB2312" w:cs="Calibri"/>
              </w:rPr>
            </w:pPr>
          </w:p>
          <w:p>
            <w:pPr>
              <w:spacing w:line="560" w:lineRule="exact"/>
              <w:rPr>
                <w:rFonts w:eastAsia="仿宋_GB2312" w:cs="Calibri"/>
              </w:rPr>
            </w:pPr>
          </w:p>
          <w:p>
            <w:pPr>
              <w:spacing w:line="560" w:lineRule="exact"/>
              <w:rPr>
                <w:rFonts w:eastAsia="仿宋_GB2312" w:cs="Calibri"/>
              </w:rPr>
            </w:pPr>
          </w:p>
          <w:p>
            <w:pPr>
              <w:spacing w:line="560" w:lineRule="exact"/>
              <w:rPr>
                <w:rFonts w:eastAsia="仿宋_GB2312" w:cs="Calibri"/>
              </w:rPr>
            </w:pPr>
          </w:p>
          <w:p>
            <w:pPr>
              <w:spacing w:line="560" w:lineRule="exact"/>
              <w:rPr>
                <w:rFonts w:eastAsia="仿宋_GB2312" w:cs="Calibri"/>
              </w:rPr>
            </w:pPr>
          </w:p>
          <w:p>
            <w:pPr>
              <w:spacing w:line="560" w:lineRule="exact"/>
              <w:rPr>
                <w:rFonts w:eastAsia="仿宋_GB2312" w:cs="Calibri"/>
              </w:rPr>
            </w:pPr>
          </w:p>
        </w:tc>
      </w:tr>
    </w:tbl>
    <w:p>
      <w:pPr>
        <w:spacing w:line="560" w:lineRule="exact"/>
        <w:rPr>
          <w:rFonts w:eastAsia="仿宋_GB2312"/>
        </w:rPr>
      </w:pPr>
    </w:p>
    <w:p>
      <w:pPr>
        <w:spacing w:line="560" w:lineRule="exact"/>
        <w:jc w:val="center"/>
      </w:pPr>
    </w:p>
    <w:sectPr>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8A2179A-CCB3-4ACB-AB48-7710B4C15EB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906E5109-346F-4B46-AEAF-FF31DEFE8FB7}"/>
  </w:font>
  <w:font w:name="Calibri Light">
    <w:panose1 w:val="020F03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embedRegular r:id="rId3" w:fontKey="{5B81237D-96C6-4CC2-9A0B-6BB9FF595D78}"/>
  </w:font>
  <w:font w:name="方正小标宋简体">
    <w:panose1 w:val="02010601030101010101"/>
    <w:charset w:val="86"/>
    <w:family w:val="auto"/>
    <w:pitch w:val="default"/>
    <w:sig w:usb0="00000001" w:usb1="080E0000" w:usb2="00000000" w:usb3="00000000" w:csb0="00040000" w:csb1="00000000"/>
  </w:font>
  <w:font w:name="方正仿宋_GB2312">
    <w:panose1 w:val="02000000000000000000"/>
    <w:charset w:val="86"/>
    <w:family w:val="auto"/>
    <w:pitch w:val="default"/>
    <w:sig w:usb0="A00002BF" w:usb1="184F6CFA" w:usb2="00000012" w:usb3="00000000" w:csb0="00040001" w:csb1="00000000"/>
    <w:embedRegular r:id="rId4" w:fontKey="{BDD24F3A-4C6B-414E-A882-3C1AA3891770}"/>
  </w:font>
  <w:font w:name="方正楷体_GB2312">
    <w:panose1 w:val="02000000000000000000"/>
    <w:charset w:val="86"/>
    <w:family w:val="auto"/>
    <w:pitch w:val="default"/>
    <w:sig w:usb0="A00002BF" w:usb1="184F6CFA" w:usb2="00000012" w:usb3="00000000" w:csb0="00040001" w:csb1="00000000"/>
    <w:embedRegular r:id="rId5" w:fontKey="{F55C55F4-9B42-4CA7-8A5B-0C2C669DE948}"/>
  </w:font>
  <w:font w:name="仿宋_GB2312">
    <w:panose1 w:val="02010609030101010101"/>
    <w:charset w:val="86"/>
    <w:family w:val="modern"/>
    <w:pitch w:val="default"/>
    <w:sig w:usb0="00000001" w:usb1="080E0000" w:usb2="00000000" w:usb3="00000000" w:csb0="00040000" w:csb1="00000000"/>
    <w:embedRegular r:id="rId6" w:fontKey="{47BE5E38-1329-4BD6-ABE7-FAEBBF63719C}"/>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embedTrueTypeFonts/>
  <w:saveSubset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EB56753"/>
    <w:rsid w:val="0000549A"/>
    <w:rsid w:val="0001656A"/>
    <w:rsid w:val="00031995"/>
    <w:rsid w:val="0004623B"/>
    <w:rsid w:val="00062022"/>
    <w:rsid w:val="000654EC"/>
    <w:rsid w:val="000755AE"/>
    <w:rsid w:val="0007790A"/>
    <w:rsid w:val="00081742"/>
    <w:rsid w:val="00096AD9"/>
    <w:rsid w:val="00097442"/>
    <w:rsid w:val="000B7DED"/>
    <w:rsid w:val="000C503D"/>
    <w:rsid w:val="000E6755"/>
    <w:rsid w:val="000F4B9D"/>
    <w:rsid w:val="000F7C7A"/>
    <w:rsid w:val="00112ACD"/>
    <w:rsid w:val="00120FCA"/>
    <w:rsid w:val="0012197E"/>
    <w:rsid w:val="00135EFB"/>
    <w:rsid w:val="00146021"/>
    <w:rsid w:val="001572A8"/>
    <w:rsid w:val="00176113"/>
    <w:rsid w:val="00185EDB"/>
    <w:rsid w:val="001945FE"/>
    <w:rsid w:val="001A1B8D"/>
    <w:rsid w:val="001B2A3F"/>
    <w:rsid w:val="002047C1"/>
    <w:rsid w:val="00212B4F"/>
    <w:rsid w:val="00234AEA"/>
    <w:rsid w:val="00253F45"/>
    <w:rsid w:val="00262C0A"/>
    <w:rsid w:val="00272BB6"/>
    <w:rsid w:val="002761AE"/>
    <w:rsid w:val="002868B0"/>
    <w:rsid w:val="0029245E"/>
    <w:rsid w:val="002A1728"/>
    <w:rsid w:val="002C07E1"/>
    <w:rsid w:val="002E38C0"/>
    <w:rsid w:val="00301A00"/>
    <w:rsid w:val="00310470"/>
    <w:rsid w:val="0031165E"/>
    <w:rsid w:val="00321AFD"/>
    <w:rsid w:val="00326008"/>
    <w:rsid w:val="00373A67"/>
    <w:rsid w:val="00380D28"/>
    <w:rsid w:val="00384409"/>
    <w:rsid w:val="00391ECF"/>
    <w:rsid w:val="003A53F6"/>
    <w:rsid w:val="003B112B"/>
    <w:rsid w:val="003B4653"/>
    <w:rsid w:val="0040662D"/>
    <w:rsid w:val="004076A4"/>
    <w:rsid w:val="00421DEC"/>
    <w:rsid w:val="0043122D"/>
    <w:rsid w:val="0044518A"/>
    <w:rsid w:val="004456F5"/>
    <w:rsid w:val="00457891"/>
    <w:rsid w:val="004670C7"/>
    <w:rsid w:val="00476BF0"/>
    <w:rsid w:val="0048353E"/>
    <w:rsid w:val="004B184C"/>
    <w:rsid w:val="004B258B"/>
    <w:rsid w:val="004D12DC"/>
    <w:rsid w:val="00500675"/>
    <w:rsid w:val="005064D6"/>
    <w:rsid w:val="0051328D"/>
    <w:rsid w:val="005328D9"/>
    <w:rsid w:val="00536612"/>
    <w:rsid w:val="0054022F"/>
    <w:rsid w:val="00550487"/>
    <w:rsid w:val="00557A42"/>
    <w:rsid w:val="00574659"/>
    <w:rsid w:val="0059146A"/>
    <w:rsid w:val="005957D4"/>
    <w:rsid w:val="00595A47"/>
    <w:rsid w:val="005A2467"/>
    <w:rsid w:val="005A39F9"/>
    <w:rsid w:val="005B72E6"/>
    <w:rsid w:val="005D1C8F"/>
    <w:rsid w:val="005D4367"/>
    <w:rsid w:val="005F19C9"/>
    <w:rsid w:val="00603FC0"/>
    <w:rsid w:val="0061121F"/>
    <w:rsid w:val="006203B3"/>
    <w:rsid w:val="006211EC"/>
    <w:rsid w:val="00622B50"/>
    <w:rsid w:val="006234BB"/>
    <w:rsid w:val="00635074"/>
    <w:rsid w:val="00642FCD"/>
    <w:rsid w:val="006440AD"/>
    <w:rsid w:val="00644CB0"/>
    <w:rsid w:val="0065415A"/>
    <w:rsid w:val="0068040B"/>
    <w:rsid w:val="00681DE6"/>
    <w:rsid w:val="006868C8"/>
    <w:rsid w:val="00693968"/>
    <w:rsid w:val="006A484F"/>
    <w:rsid w:val="006D0752"/>
    <w:rsid w:val="0072321B"/>
    <w:rsid w:val="00742E06"/>
    <w:rsid w:val="007457E0"/>
    <w:rsid w:val="00746B27"/>
    <w:rsid w:val="00747253"/>
    <w:rsid w:val="0076608C"/>
    <w:rsid w:val="007C1EF6"/>
    <w:rsid w:val="007C3BCA"/>
    <w:rsid w:val="007C470C"/>
    <w:rsid w:val="007E528C"/>
    <w:rsid w:val="007F35DC"/>
    <w:rsid w:val="00820DE4"/>
    <w:rsid w:val="00821F06"/>
    <w:rsid w:val="0084474D"/>
    <w:rsid w:val="00855733"/>
    <w:rsid w:val="00870A2B"/>
    <w:rsid w:val="00871513"/>
    <w:rsid w:val="00885AEC"/>
    <w:rsid w:val="008A7727"/>
    <w:rsid w:val="008B1573"/>
    <w:rsid w:val="008B553B"/>
    <w:rsid w:val="008C1D01"/>
    <w:rsid w:val="008C4049"/>
    <w:rsid w:val="008D588E"/>
    <w:rsid w:val="008D69A1"/>
    <w:rsid w:val="008E6EA3"/>
    <w:rsid w:val="00905368"/>
    <w:rsid w:val="00917674"/>
    <w:rsid w:val="009326F9"/>
    <w:rsid w:val="0093796C"/>
    <w:rsid w:val="00940242"/>
    <w:rsid w:val="00977939"/>
    <w:rsid w:val="009A013B"/>
    <w:rsid w:val="009A5A19"/>
    <w:rsid w:val="009D4E68"/>
    <w:rsid w:val="009F1E87"/>
    <w:rsid w:val="00A0291A"/>
    <w:rsid w:val="00A04511"/>
    <w:rsid w:val="00A1583F"/>
    <w:rsid w:val="00A66A90"/>
    <w:rsid w:val="00A7413E"/>
    <w:rsid w:val="00A74798"/>
    <w:rsid w:val="00A87120"/>
    <w:rsid w:val="00A9540A"/>
    <w:rsid w:val="00AA7B96"/>
    <w:rsid w:val="00AD229F"/>
    <w:rsid w:val="00AE1545"/>
    <w:rsid w:val="00B12D7E"/>
    <w:rsid w:val="00B166B5"/>
    <w:rsid w:val="00B2449D"/>
    <w:rsid w:val="00B75B12"/>
    <w:rsid w:val="00B811D0"/>
    <w:rsid w:val="00B81B9A"/>
    <w:rsid w:val="00B8559B"/>
    <w:rsid w:val="00B95586"/>
    <w:rsid w:val="00BE365D"/>
    <w:rsid w:val="00C249B6"/>
    <w:rsid w:val="00C30DDB"/>
    <w:rsid w:val="00C415BC"/>
    <w:rsid w:val="00C71D1B"/>
    <w:rsid w:val="00C720BC"/>
    <w:rsid w:val="00C77782"/>
    <w:rsid w:val="00CA5B80"/>
    <w:rsid w:val="00CB715E"/>
    <w:rsid w:val="00CD2590"/>
    <w:rsid w:val="00CD2F4A"/>
    <w:rsid w:val="00CD3B68"/>
    <w:rsid w:val="00D00833"/>
    <w:rsid w:val="00D05344"/>
    <w:rsid w:val="00D1584C"/>
    <w:rsid w:val="00D24718"/>
    <w:rsid w:val="00D36B48"/>
    <w:rsid w:val="00D40E4D"/>
    <w:rsid w:val="00D52631"/>
    <w:rsid w:val="00D66B0D"/>
    <w:rsid w:val="00D750F8"/>
    <w:rsid w:val="00D9274C"/>
    <w:rsid w:val="00D95FE7"/>
    <w:rsid w:val="00DA0231"/>
    <w:rsid w:val="00DB0C86"/>
    <w:rsid w:val="00DB0E9C"/>
    <w:rsid w:val="00DC04D1"/>
    <w:rsid w:val="00DD76B2"/>
    <w:rsid w:val="00DE1EF6"/>
    <w:rsid w:val="00DE3E82"/>
    <w:rsid w:val="00DF40D1"/>
    <w:rsid w:val="00E033FE"/>
    <w:rsid w:val="00E132BC"/>
    <w:rsid w:val="00E34C0B"/>
    <w:rsid w:val="00E34DE8"/>
    <w:rsid w:val="00E35B41"/>
    <w:rsid w:val="00E41E64"/>
    <w:rsid w:val="00E53B34"/>
    <w:rsid w:val="00E73D70"/>
    <w:rsid w:val="00E821B8"/>
    <w:rsid w:val="00EB3D0C"/>
    <w:rsid w:val="00EB3DEE"/>
    <w:rsid w:val="00EC00BF"/>
    <w:rsid w:val="00EC1F5B"/>
    <w:rsid w:val="00ED0F2E"/>
    <w:rsid w:val="00EE2E0C"/>
    <w:rsid w:val="00EF4EC0"/>
    <w:rsid w:val="00F01BCA"/>
    <w:rsid w:val="00F07ACB"/>
    <w:rsid w:val="00F249F6"/>
    <w:rsid w:val="00F5402F"/>
    <w:rsid w:val="00F57C01"/>
    <w:rsid w:val="00F657FA"/>
    <w:rsid w:val="00F755BC"/>
    <w:rsid w:val="00FA0003"/>
    <w:rsid w:val="00FB1017"/>
    <w:rsid w:val="00FB11D3"/>
    <w:rsid w:val="00FC593A"/>
    <w:rsid w:val="00FD204D"/>
    <w:rsid w:val="00FD3123"/>
    <w:rsid w:val="00FD4551"/>
    <w:rsid w:val="00FF0DFB"/>
    <w:rsid w:val="02896AB3"/>
    <w:rsid w:val="02A4224E"/>
    <w:rsid w:val="03272676"/>
    <w:rsid w:val="03D026B7"/>
    <w:rsid w:val="03D44B45"/>
    <w:rsid w:val="040665FA"/>
    <w:rsid w:val="05E94813"/>
    <w:rsid w:val="06BC0A52"/>
    <w:rsid w:val="08005C47"/>
    <w:rsid w:val="09096BF6"/>
    <w:rsid w:val="09CF4974"/>
    <w:rsid w:val="0C2F605B"/>
    <w:rsid w:val="0CC43FB5"/>
    <w:rsid w:val="0D507609"/>
    <w:rsid w:val="0EB56753"/>
    <w:rsid w:val="10FD3EC5"/>
    <w:rsid w:val="1136433F"/>
    <w:rsid w:val="11B031DE"/>
    <w:rsid w:val="159468C1"/>
    <w:rsid w:val="16171CC7"/>
    <w:rsid w:val="16814B66"/>
    <w:rsid w:val="17402305"/>
    <w:rsid w:val="180F2495"/>
    <w:rsid w:val="199C20AF"/>
    <w:rsid w:val="1A8C7A2E"/>
    <w:rsid w:val="1BA3069E"/>
    <w:rsid w:val="1BAA0189"/>
    <w:rsid w:val="1C1027E3"/>
    <w:rsid w:val="1CCC7263"/>
    <w:rsid w:val="1D9220A3"/>
    <w:rsid w:val="1DBA3D91"/>
    <w:rsid w:val="1E106D3A"/>
    <w:rsid w:val="1EDB5C44"/>
    <w:rsid w:val="1EEA5004"/>
    <w:rsid w:val="1F1E559A"/>
    <w:rsid w:val="1F334BC8"/>
    <w:rsid w:val="20976CAE"/>
    <w:rsid w:val="209C2133"/>
    <w:rsid w:val="21A41C3A"/>
    <w:rsid w:val="22DB5972"/>
    <w:rsid w:val="23FD0587"/>
    <w:rsid w:val="240578A7"/>
    <w:rsid w:val="248B15FC"/>
    <w:rsid w:val="24ED705A"/>
    <w:rsid w:val="24F1107B"/>
    <w:rsid w:val="26D32E00"/>
    <w:rsid w:val="27841C9E"/>
    <w:rsid w:val="28B22D30"/>
    <w:rsid w:val="2AF845D1"/>
    <w:rsid w:val="2C5B6A12"/>
    <w:rsid w:val="2DC86CB0"/>
    <w:rsid w:val="38037262"/>
    <w:rsid w:val="38625AA5"/>
    <w:rsid w:val="38B7600A"/>
    <w:rsid w:val="394F0285"/>
    <w:rsid w:val="3A2D0350"/>
    <w:rsid w:val="3A5C7BB6"/>
    <w:rsid w:val="3B9734CE"/>
    <w:rsid w:val="3DE8570B"/>
    <w:rsid w:val="3DF83223"/>
    <w:rsid w:val="3ECB3C04"/>
    <w:rsid w:val="3F8E7530"/>
    <w:rsid w:val="40124BF3"/>
    <w:rsid w:val="40C90B3F"/>
    <w:rsid w:val="4137139D"/>
    <w:rsid w:val="41493CDA"/>
    <w:rsid w:val="41E579D9"/>
    <w:rsid w:val="43571AC0"/>
    <w:rsid w:val="43F5759B"/>
    <w:rsid w:val="446A6DE6"/>
    <w:rsid w:val="44AC7A38"/>
    <w:rsid w:val="46570591"/>
    <w:rsid w:val="48685596"/>
    <w:rsid w:val="48804AA8"/>
    <w:rsid w:val="4AC71463"/>
    <w:rsid w:val="4EEE7E3E"/>
    <w:rsid w:val="4F8624A9"/>
    <w:rsid w:val="4F8B1D5F"/>
    <w:rsid w:val="54974884"/>
    <w:rsid w:val="560E54F6"/>
    <w:rsid w:val="56F46738"/>
    <w:rsid w:val="57914088"/>
    <w:rsid w:val="57A603A0"/>
    <w:rsid w:val="58C12053"/>
    <w:rsid w:val="598F6101"/>
    <w:rsid w:val="5DE43801"/>
    <w:rsid w:val="5E1F136D"/>
    <w:rsid w:val="5F3C1037"/>
    <w:rsid w:val="5FF36CD9"/>
    <w:rsid w:val="61980B43"/>
    <w:rsid w:val="625525DE"/>
    <w:rsid w:val="626E45D7"/>
    <w:rsid w:val="62BE208C"/>
    <w:rsid w:val="655E5D51"/>
    <w:rsid w:val="658805D0"/>
    <w:rsid w:val="65B37A9B"/>
    <w:rsid w:val="66E30EB8"/>
    <w:rsid w:val="67102057"/>
    <w:rsid w:val="69647C2B"/>
    <w:rsid w:val="6A16656B"/>
    <w:rsid w:val="6A4843F5"/>
    <w:rsid w:val="6BC05CEF"/>
    <w:rsid w:val="6C530A9A"/>
    <w:rsid w:val="6D0138BC"/>
    <w:rsid w:val="6D535020"/>
    <w:rsid w:val="70A62651"/>
    <w:rsid w:val="70E46996"/>
    <w:rsid w:val="71071514"/>
    <w:rsid w:val="716C5630"/>
    <w:rsid w:val="72B47D4F"/>
    <w:rsid w:val="739B6D58"/>
    <w:rsid w:val="73D44119"/>
    <w:rsid w:val="752A4DF1"/>
    <w:rsid w:val="75A66DDC"/>
    <w:rsid w:val="75CF3FA5"/>
    <w:rsid w:val="763009E3"/>
    <w:rsid w:val="770D5FF7"/>
    <w:rsid w:val="77222372"/>
    <w:rsid w:val="7906619C"/>
    <w:rsid w:val="790F43FB"/>
    <w:rsid w:val="7A750C12"/>
    <w:rsid w:val="7C0816F8"/>
    <w:rsid w:val="7D4A131D"/>
    <w:rsid w:val="7EE2147A"/>
    <w:rsid w:val="7FDA506A"/>
    <w:rsid w:val="7FE5730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tabs>
        <w:tab w:val="left" w:pos="425"/>
      </w:tabs>
      <w:snapToGrid w:val="0"/>
      <w:spacing w:before="120" w:line="300" w:lineRule="auto"/>
      <w:outlineLvl w:val="0"/>
    </w:pPr>
    <w:rPr>
      <w:b/>
      <w:bCs/>
      <w:kern w:val="44"/>
      <w:sz w:val="28"/>
      <w:szCs w:val="44"/>
    </w:rPr>
  </w:style>
  <w:style w:type="paragraph" w:styleId="3">
    <w:name w:val="heading 2"/>
    <w:basedOn w:val="1"/>
    <w:next w:val="1"/>
    <w:link w:val="16"/>
    <w:unhideWhenUsed/>
    <w:qFormat/>
    <w:uiPriority w:val="0"/>
    <w:pPr>
      <w:keepNext/>
      <w:keepLines/>
      <w:snapToGrid w:val="0"/>
      <w:spacing w:beforeLines="25" w:line="300" w:lineRule="auto"/>
      <w:ind w:firstLine="200" w:firstLineChars="200"/>
      <w:outlineLvl w:val="1"/>
    </w:pPr>
    <w:rPr>
      <w:rFonts w:cstheme="majorBidi"/>
      <w:b/>
      <w:bCs/>
      <w:sz w:val="28"/>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3"/>
    <w:qFormat/>
    <w:uiPriority w:val="0"/>
    <w:pPr>
      <w:jc w:val="left"/>
    </w:pPr>
  </w:style>
  <w:style w:type="paragraph" w:styleId="5">
    <w:name w:val="Plain Text"/>
    <w:basedOn w:val="1"/>
    <w:qFormat/>
    <w:uiPriority w:val="0"/>
    <w:rPr>
      <w:rFonts w:ascii="宋体" w:hAnsi="Courier New" w:cs="Courier New"/>
      <w:szCs w:val="21"/>
    </w:rPr>
  </w:style>
  <w:style w:type="paragraph" w:styleId="6">
    <w:name w:val="Balloon Text"/>
    <w:basedOn w:val="1"/>
    <w:link w:val="22"/>
    <w:qFormat/>
    <w:uiPriority w:val="0"/>
    <w:rPr>
      <w:sz w:val="18"/>
      <w:szCs w:val="18"/>
    </w:rPr>
  </w:style>
  <w:style w:type="paragraph" w:styleId="7">
    <w:name w:val="footer"/>
    <w:basedOn w:val="1"/>
    <w:link w:val="20"/>
    <w:qFormat/>
    <w:uiPriority w:val="0"/>
    <w:pPr>
      <w:tabs>
        <w:tab w:val="center" w:pos="4153"/>
        <w:tab w:val="right" w:pos="8306"/>
      </w:tabs>
      <w:snapToGrid w:val="0"/>
      <w:jc w:val="left"/>
    </w:pPr>
    <w:rPr>
      <w:sz w:val="18"/>
      <w:szCs w:val="18"/>
    </w:rPr>
  </w:style>
  <w:style w:type="paragraph" w:styleId="8">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paragraph" w:styleId="9">
    <w:name w:val="toc 1"/>
    <w:basedOn w:val="1"/>
    <w:next w:val="1"/>
    <w:qFormat/>
    <w:uiPriority w:val="39"/>
  </w:style>
  <w:style w:type="paragraph" w:styleId="10">
    <w:name w:val="toc 2"/>
    <w:basedOn w:val="1"/>
    <w:next w:val="1"/>
    <w:qFormat/>
    <w:uiPriority w:val="39"/>
    <w:pPr>
      <w:ind w:left="420" w:leftChars="200"/>
    </w:pPr>
  </w:style>
  <w:style w:type="paragraph" w:styleId="11">
    <w:name w:val="annotation subject"/>
    <w:basedOn w:val="4"/>
    <w:next w:val="4"/>
    <w:link w:val="24"/>
    <w:qFormat/>
    <w:uiPriority w:val="0"/>
    <w:rPr>
      <w:b/>
      <w:bCs/>
    </w:rPr>
  </w:style>
  <w:style w:type="character" w:styleId="14">
    <w:name w:val="Hyperlink"/>
    <w:basedOn w:val="13"/>
    <w:unhideWhenUsed/>
    <w:qFormat/>
    <w:uiPriority w:val="99"/>
    <w:rPr>
      <w:color w:val="0563C1" w:themeColor="hyperlink"/>
      <w:u w:val="single"/>
    </w:rPr>
  </w:style>
  <w:style w:type="character" w:styleId="15">
    <w:name w:val="annotation reference"/>
    <w:basedOn w:val="13"/>
    <w:qFormat/>
    <w:uiPriority w:val="0"/>
    <w:rPr>
      <w:sz w:val="21"/>
      <w:szCs w:val="21"/>
    </w:rPr>
  </w:style>
  <w:style w:type="character" w:customStyle="1" w:styleId="16">
    <w:name w:val="标题 2 Char"/>
    <w:basedOn w:val="13"/>
    <w:link w:val="3"/>
    <w:qFormat/>
    <w:uiPriority w:val="0"/>
    <w:rPr>
      <w:rFonts w:cstheme="majorBidi"/>
      <w:b/>
      <w:bCs/>
      <w:kern w:val="2"/>
      <w:sz w:val="28"/>
      <w:szCs w:val="32"/>
    </w:rPr>
  </w:style>
  <w:style w:type="paragraph" w:styleId="17">
    <w:name w:val="List Paragraph"/>
    <w:basedOn w:val="1"/>
    <w:qFormat/>
    <w:uiPriority w:val="99"/>
    <w:pPr>
      <w:ind w:firstLine="420" w:firstLineChars="200"/>
    </w:pPr>
  </w:style>
  <w:style w:type="paragraph" w:customStyle="1" w:styleId="18">
    <w:name w:val="TOC 标题1"/>
    <w:basedOn w:val="2"/>
    <w:next w:val="1"/>
    <w:unhideWhenUsed/>
    <w:qFormat/>
    <w:uiPriority w:val="39"/>
    <w:pPr>
      <w:widowControl/>
      <w:tabs>
        <w:tab w:val="clear" w:pos="425"/>
      </w:tabs>
      <w:snapToGrid/>
      <w:spacing w:before="240" w:line="259" w:lineRule="auto"/>
      <w:jc w:val="left"/>
      <w:outlineLvl w:val="9"/>
    </w:pPr>
    <w:rPr>
      <w:rFonts w:asciiTheme="majorHAnsi" w:hAnsiTheme="majorHAnsi" w:eastAsiaTheme="majorEastAsia" w:cstheme="majorBidi"/>
      <w:b w:val="0"/>
      <w:bCs w:val="0"/>
      <w:color w:val="2E75B5" w:themeColor="accent1" w:themeShade="BF"/>
      <w:kern w:val="0"/>
      <w:sz w:val="32"/>
      <w:szCs w:val="32"/>
    </w:rPr>
  </w:style>
  <w:style w:type="character" w:customStyle="1" w:styleId="19">
    <w:name w:val="页眉 Char"/>
    <w:basedOn w:val="13"/>
    <w:link w:val="8"/>
    <w:qFormat/>
    <w:uiPriority w:val="0"/>
    <w:rPr>
      <w:kern w:val="2"/>
      <w:sz w:val="18"/>
      <w:szCs w:val="18"/>
    </w:rPr>
  </w:style>
  <w:style w:type="character" w:customStyle="1" w:styleId="20">
    <w:name w:val="页脚 Char"/>
    <w:basedOn w:val="13"/>
    <w:link w:val="7"/>
    <w:qFormat/>
    <w:uiPriority w:val="0"/>
    <w:rPr>
      <w:kern w:val="2"/>
      <w:sz w:val="18"/>
      <w:szCs w:val="18"/>
    </w:rPr>
  </w:style>
  <w:style w:type="paragraph" w:customStyle="1" w:styleId="21">
    <w:name w:val="样式 标题 1 + 段前: 6 磅 段后: 6 磅"/>
    <w:basedOn w:val="2"/>
    <w:qFormat/>
    <w:uiPriority w:val="0"/>
    <w:rPr>
      <w:rFonts w:eastAsia="楷体_GB2312" w:cs="宋体"/>
      <w:szCs w:val="32"/>
    </w:rPr>
  </w:style>
  <w:style w:type="character" w:customStyle="1" w:styleId="22">
    <w:name w:val="批注框文本 Char"/>
    <w:basedOn w:val="13"/>
    <w:link w:val="6"/>
    <w:qFormat/>
    <w:uiPriority w:val="0"/>
    <w:rPr>
      <w:rFonts w:ascii="Times New Roman" w:hAnsi="Times New Roman"/>
      <w:kern w:val="2"/>
      <w:sz w:val="18"/>
      <w:szCs w:val="18"/>
    </w:rPr>
  </w:style>
  <w:style w:type="character" w:customStyle="1" w:styleId="23">
    <w:name w:val="批注文字 Char"/>
    <w:basedOn w:val="13"/>
    <w:link w:val="4"/>
    <w:qFormat/>
    <w:uiPriority w:val="0"/>
    <w:rPr>
      <w:rFonts w:ascii="Times New Roman" w:hAnsi="Times New Roman"/>
      <w:kern w:val="2"/>
      <w:sz w:val="21"/>
    </w:rPr>
  </w:style>
  <w:style w:type="character" w:customStyle="1" w:styleId="24">
    <w:name w:val="批注主题 Char"/>
    <w:basedOn w:val="23"/>
    <w:link w:val="11"/>
    <w:qFormat/>
    <w:uiPriority w:val="0"/>
    <w:rPr>
      <w:rFonts w:ascii="Times New Roman" w:hAnsi="Times New Roman"/>
      <w:b/>
      <w:bCs/>
      <w:kern w:val="2"/>
      <w:sz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5A02D61-96C9-447E-ACE2-1ED433FAFF65}">
  <ds:schemaRefs/>
</ds:datastoreItem>
</file>

<file path=docProps/app.xml><?xml version="1.0" encoding="utf-8"?>
<Properties xmlns="http://schemas.openxmlformats.org/officeDocument/2006/extended-properties" xmlns:vt="http://schemas.openxmlformats.org/officeDocument/2006/docPropsVTypes">
  <Template>0</Template>
  <Company>WMU</Company>
  <Pages>12</Pages>
  <Words>4622</Words>
  <Characters>4724</Characters>
  <Lines>35</Lines>
  <Paragraphs>9</Paragraphs>
  <TotalTime>8</TotalTime>
  <ScaleCrop>false</ScaleCrop>
  <LinksUpToDate>false</LinksUpToDate>
  <CharactersWithSpaces>4726</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2021-11-11T07:47:00Z</dcterms:created>
  <dc:creator>盛夏不懂初秋凉1413533478</dc:creator>
  <cp:lastModifiedBy>吴茂华</cp:lastModifiedBy>
  <cp:lastPrinted>2021-12-22T01:34:00Z</cp:lastPrinted>
  <dcterms:modified xsi:type="dcterms:W3CDTF">2022-04-06T02:57:31Z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BA73D257288549A1A22FA1C6E1559258</vt:lpwstr>
  </property>
</Properties>
</file>