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keepNext/>
        <w:keepLines/>
        <w:pageBreakBefore w:val="0"/>
        <w:widowControl w:val="0"/>
        <w:numPr>
          <w:ilvl w:val="0"/>
          <w:numId w:val="0"/>
        </w:numPr>
        <w:kinsoku/>
        <w:wordWrap/>
        <w:overflowPunct/>
        <w:topLinePunct w:val="0"/>
        <w:autoSpaceDE/>
        <w:autoSpaceDN/>
        <w:bidi w:val="0"/>
        <w:adjustRightInd/>
        <w:snapToGrid w:val="0"/>
        <w:spacing w:before="0" w:beforeLines="0" w:after="0" w:line="240" w:lineRule="auto"/>
        <w:ind w:leftChars="0"/>
        <w:jc w:val="center"/>
        <w:textAlignment w:val="auto"/>
        <w:rPr>
          <w:rFonts w:hint="eastAsia" w:ascii="方正小标宋简体" w:hAnsi="方正小标宋简体" w:eastAsia="方正小标宋简体" w:cs="方正小标宋简体"/>
          <w:b w:val="0"/>
          <w:bCs w:val="0"/>
          <w:sz w:val="44"/>
          <w:szCs w:val="44"/>
        </w:rPr>
      </w:pPr>
      <w:bookmarkStart w:id="0" w:name="_Toc301384598"/>
      <w:r>
        <w:rPr>
          <w:rFonts w:hint="eastAsia" w:ascii="方正小标宋简体" w:hAnsi="方正小标宋简体" w:eastAsia="方正小标宋简体" w:cs="方正小标宋简体"/>
          <w:b w:val="0"/>
          <w:bCs w:val="0"/>
          <w:sz w:val="44"/>
          <w:szCs w:val="44"/>
        </w:rPr>
        <w:t>温州医科大学药学</w:t>
      </w:r>
      <w:r>
        <w:rPr>
          <w:rFonts w:hint="eastAsia" w:ascii="方正小标宋简体" w:hAnsi="方正小标宋简体" w:eastAsia="方正小标宋简体" w:cs="方正小标宋简体"/>
          <w:b w:val="0"/>
          <w:bCs w:val="0"/>
          <w:sz w:val="44"/>
          <w:szCs w:val="44"/>
          <w:lang w:val="en-US" w:eastAsia="zh-CN"/>
        </w:rPr>
        <w:t>专业</w:t>
      </w:r>
      <w:r>
        <w:rPr>
          <w:rFonts w:hint="eastAsia" w:ascii="方正小标宋简体" w:hAnsi="方正小标宋简体" w:eastAsia="方正小标宋简体" w:cs="方正小标宋简体"/>
          <w:b w:val="0"/>
          <w:bCs w:val="0"/>
          <w:sz w:val="44"/>
          <w:szCs w:val="44"/>
        </w:rPr>
        <w:t>学位</w:t>
      </w:r>
    </w:p>
    <w:p>
      <w:pPr>
        <w:pStyle w:val="16"/>
        <w:keepNext/>
        <w:keepLines/>
        <w:pageBreakBefore w:val="0"/>
        <w:widowControl w:val="0"/>
        <w:numPr>
          <w:ilvl w:val="0"/>
          <w:numId w:val="0"/>
        </w:numPr>
        <w:kinsoku/>
        <w:wordWrap/>
        <w:overflowPunct/>
        <w:topLinePunct w:val="0"/>
        <w:autoSpaceDE/>
        <w:autoSpaceDN/>
        <w:bidi w:val="0"/>
        <w:adjustRightInd/>
        <w:snapToGrid w:val="0"/>
        <w:spacing w:before="0" w:beforeLines="0" w:after="0" w:line="240" w:lineRule="auto"/>
        <w:ind w:leftChars="0"/>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硕士研究生培养方案</w:t>
      </w:r>
      <w:bookmarkEnd w:id="0"/>
    </w:p>
    <w:p>
      <w:pPr>
        <w:keepNext w:val="0"/>
        <w:keepLines w:val="0"/>
        <w:pageBreakBefore w:val="0"/>
        <w:widowControl w:val="0"/>
        <w:kinsoku/>
        <w:wordWrap/>
        <w:overflowPunct/>
        <w:topLinePunct w:val="0"/>
        <w:autoSpaceDE/>
        <w:autoSpaceDN/>
        <w:bidi w:val="0"/>
        <w:adjustRightInd/>
        <w:snapToGrid/>
        <w:spacing w:before="313" w:beforeLines="100" w:line="560" w:lineRule="exact"/>
        <w:ind w:left="0" w:firstLine="640" w:firstLineChars="200"/>
        <w:jc w:val="left"/>
        <w:textAlignment w:val="auto"/>
        <w:rPr>
          <w:rFonts w:hint="default" w:ascii="Times New Roman" w:hAnsi="Times New Roman" w:cs="Times New Roman"/>
          <w:sz w:val="32"/>
          <w:szCs w:val="32"/>
        </w:rPr>
      </w:pPr>
      <w:r>
        <w:rPr>
          <w:rFonts w:hint="default" w:ascii="Times New Roman" w:hAnsi="Times New Roman" w:eastAsia="仿宋_GB2312" w:cs="Times New Roman"/>
          <w:sz w:val="32"/>
          <w:szCs w:val="32"/>
        </w:rPr>
        <w:t>根据《中华人民共和国学位条例》、《中华人民共和国学位条例暂行实施法》、</w:t>
      </w:r>
      <w:r>
        <w:rPr>
          <w:rFonts w:hint="default" w:ascii="Times New Roman" w:hAnsi="Times New Roman" w:eastAsia="仿宋_GB2312" w:cs="Times New Roman"/>
          <w:sz w:val="32"/>
          <w:szCs w:val="32"/>
          <w:lang w:val="en-US" w:eastAsia="zh-CN"/>
        </w:rPr>
        <w:t>药学专业型</w:t>
      </w:r>
      <w:r>
        <w:rPr>
          <w:rFonts w:hint="default" w:ascii="Times New Roman" w:hAnsi="Times New Roman" w:eastAsia="仿宋_GB2312" w:cs="Times New Roman"/>
          <w:sz w:val="32"/>
          <w:szCs w:val="32"/>
        </w:rPr>
        <w:t>硕士学位基本要求和教育部关于</w:t>
      </w:r>
      <w:r>
        <w:rPr>
          <w:rFonts w:hint="default" w:ascii="Times New Roman" w:hAnsi="Times New Roman" w:eastAsia="仿宋_GB2312" w:cs="Times New Roman"/>
          <w:color w:val="000000"/>
          <w:sz w:val="32"/>
          <w:szCs w:val="32"/>
        </w:rPr>
        <w:t>专业学位研究生教育发展方案</w:t>
      </w:r>
      <w:r>
        <w:rPr>
          <w:rFonts w:hint="default" w:ascii="Times New Roman" w:hAnsi="Times New Roman" w:eastAsia="仿宋_GB2312" w:cs="Times New Roman"/>
          <w:sz w:val="32"/>
          <w:szCs w:val="32"/>
        </w:rPr>
        <w:t>的有关精神，</w:t>
      </w:r>
      <w:r>
        <w:rPr>
          <w:rFonts w:hint="default" w:ascii="Times New Roman" w:hAnsi="Times New Roman" w:eastAsia="仿宋_GB2312" w:cs="Times New Roman"/>
          <w:color w:val="000000"/>
          <w:sz w:val="32"/>
          <w:szCs w:val="32"/>
        </w:rPr>
        <w:t>结合我校实际，制定本培养方案。</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firstLine="640" w:firstLineChars="200"/>
        <w:jc w:val="left"/>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一、培养目标</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培养适应医药事业发展需要，具有良好政治思想素质、职业道德素养和社会责任感，热爱药学专业，较好掌握药学及相关学科专业知识，具有较强的技术创新能力和解决实际问题能力的药学高层次应用型人才。</w:t>
      </w:r>
    </w:p>
    <w:p>
      <w:pPr>
        <w:keepNext w:val="0"/>
        <w:keepLines w:val="0"/>
        <w:pageBreakBefore w:val="0"/>
        <w:kinsoku/>
        <w:wordWrap/>
        <w:overflowPunct/>
        <w:topLinePunct w:val="0"/>
        <w:autoSpaceDE/>
        <w:autoSpaceDN/>
        <w:bidi w:val="0"/>
        <w:snapToGrid/>
        <w:spacing w:line="56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（一）拥护中国共产党的领导，拥护社会主义制度，热爱祖国，遵纪守法，品行端正，具有良好的思想品德作风，团结协作，热爱药学专业，具有与时俱进的创新意识和追求真理、献身于药学事业的敬业精神。</w:t>
      </w:r>
    </w:p>
    <w:p>
      <w:pPr>
        <w:keepNext w:val="0"/>
        <w:keepLines w:val="0"/>
        <w:pageBreakBefore w:val="0"/>
        <w:kinsoku/>
        <w:wordWrap/>
        <w:overflowPunct/>
        <w:topLinePunct w:val="0"/>
        <w:autoSpaceDE/>
        <w:autoSpaceDN/>
        <w:bidi w:val="0"/>
        <w:snapToGrid/>
        <w:spacing w:line="56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（二）具有良好的药学基础知识，并具有良好的实践能力、创新能力和解决实际问题能力，胜任本领域的实际工作。</w:t>
      </w:r>
    </w:p>
    <w:p>
      <w:pPr>
        <w:keepNext w:val="0"/>
        <w:keepLines w:val="0"/>
        <w:pageBreakBefore w:val="0"/>
        <w:kinsoku/>
        <w:wordWrap/>
        <w:overflowPunct/>
        <w:topLinePunct w:val="0"/>
        <w:autoSpaceDE/>
        <w:autoSpaceDN/>
        <w:bidi w:val="0"/>
        <w:snapToGrid/>
        <w:spacing w:line="56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（三）掌握一门外国语，具有较为熟练阅读本专业外文文献的能力。</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firstLine="640" w:firstLineChars="200"/>
        <w:jc w:val="left"/>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val="en-US" w:eastAsia="zh-CN"/>
        </w:rPr>
        <w:t>二</w:t>
      </w:r>
      <w:r>
        <w:rPr>
          <w:rFonts w:hint="default" w:ascii="Times New Roman" w:hAnsi="Times New Roman" w:eastAsia="黑体" w:cs="Times New Roman"/>
          <w:b w:val="0"/>
          <w:bCs/>
          <w:sz w:val="32"/>
          <w:szCs w:val="32"/>
        </w:rPr>
        <w:t>、学习年限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32" w:firstLineChars="200"/>
        <w:jc w:val="left"/>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val="0"/>
          <w:bCs w:val="0"/>
          <w:spacing w:val="-2"/>
          <w:kern w:val="2"/>
          <w:sz w:val="32"/>
          <w:szCs w:val="32"/>
          <w:lang w:val="en-US" w:eastAsia="zh-CN" w:bidi="ar-SA"/>
        </w:rPr>
        <w:t>硕士研究生学制为3年，在规定学习年限内不能完成学业者，可以申请延长学习年限。最长学习年限不得超过5年（含休学、保留学籍和保留入学资格）。超过最长学习年限尚未完成学业者，不予以毕业或授予学位。</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firstLine="640" w:firstLineChars="200"/>
        <w:jc w:val="left"/>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val="en-US" w:eastAsia="zh-CN"/>
        </w:rPr>
        <w:t>三</w:t>
      </w:r>
      <w:r>
        <w:rPr>
          <w:rFonts w:hint="default" w:ascii="Times New Roman" w:hAnsi="Times New Roman" w:eastAsia="黑体" w:cs="Times New Roman"/>
          <w:b w:val="0"/>
          <w:bCs/>
          <w:sz w:val="32"/>
          <w:szCs w:val="32"/>
        </w:rPr>
        <w:t>、培养方式</w:t>
      </w:r>
    </w:p>
    <w:p>
      <w:pPr>
        <w:keepNext w:val="0"/>
        <w:keepLines w:val="0"/>
        <w:pageBreakBefore w:val="0"/>
        <w:widowControl w:val="0"/>
        <w:kinsoku/>
        <w:wordWrap/>
        <w:overflowPunct/>
        <w:topLinePunct w:val="0"/>
        <w:autoSpaceDE/>
        <w:autoSpaceDN/>
        <w:bidi w:val="0"/>
        <w:adjustRightInd/>
        <w:snapToGrid/>
        <w:spacing w:line="560" w:lineRule="exact"/>
        <w:ind w:left="0" w:firstLine="632" w:firstLineChars="200"/>
        <w:jc w:val="left"/>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采用课程学习、</w:t>
      </w:r>
      <w:r>
        <w:rPr>
          <w:rFonts w:hint="default" w:ascii="Times New Roman" w:hAnsi="Times New Roman" w:eastAsia="仿宋_GB2312" w:cs="Times New Roman"/>
          <w:spacing w:val="-2"/>
          <w:sz w:val="32"/>
          <w:szCs w:val="32"/>
          <w:lang w:val="en-US" w:eastAsia="zh-CN"/>
        </w:rPr>
        <w:t>专业</w:t>
      </w:r>
      <w:r>
        <w:rPr>
          <w:rFonts w:hint="default" w:ascii="Times New Roman" w:hAnsi="Times New Roman" w:eastAsia="仿宋_GB2312" w:cs="Times New Roman"/>
          <w:spacing w:val="-2"/>
          <w:sz w:val="32"/>
          <w:szCs w:val="32"/>
        </w:rPr>
        <w:t>实践学习和课题研究相结合的培养方式。强调理论与实践并重，着重培养研究生实践能力及创新能力，形成理论与实践、导师引导与学生自主学习相结合的培养模式。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32" w:firstLineChars="200"/>
        <w:jc w:val="left"/>
        <w:textAlignment w:val="auto"/>
        <w:rPr>
          <w:rFonts w:hint="default" w:ascii="Times New Roman" w:hAnsi="Times New Roman" w:cs="Times New Roman"/>
          <w:sz w:val="32"/>
          <w:szCs w:val="32"/>
          <w:lang w:val="en-US" w:eastAsia="zh-CN"/>
        </w:rPr>
      </w:pPr>
      <w:r>
        <w:rPr>
          <w:rFonts w:hint="default" w:ascii="Times New Roman" w:hAnsi="Times New Roman" w:eastAsia="仿宋_GB2312" w:cs="Times New Roman"/>
          <w:b w:val="0"/>
          <w:bCs w:val="0"/>
          <w:spacing w:val="-2"/>
          <w:kern w:val="2"/>
          <w:sz w:val="32"/>
          <w:szCs w:val="32"/>
          <w:lang w:val="en-US" w:eastAsia="zh-CN" w:bidi="ar-SA"/>
        </w:rPr>
        <w:t>研究生应定期向导师汇报思想、学习、工作情况和课题阶段总结，导师应检查、了解研究生的全面情况，重视研究生政治思想和业务素质水平的提高，定期检查实验记录，了解课题进度。</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firstLine="640" w:firstLineChars="200"/>
        <w:jc w:val="left"/>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四</w:t>
      </w:r>
      <w:r>
        <w:rPr>
          <w:rFonts w:hint="default" w:ascii="Times New Roman" w:hAnsi="Times New Roman" w:eastAsia="黑体" w:cs="Times New Roman"/>
          <w:b w:val="0"/>
          <w:bCs/>
          <w:sz w:val="32"/>
          <w:szCs w:val="32"/>
        </w:rPr>
        <w:t>、</w:t>
      </w:r>
      <w:r>
        <w:rPr>
          <w:rFonts w:hint="default" w:ascii="Times New Roman" w:hAnsi="Times New Roman" w:eastAsia="黑体" w:cs="Times New Roman"/>
          <w:b w:val="0"/>
          <w:bCs/>
          <w:sz w:val="32"/>
          <w:szCs w:val="32"/>
          <w:lang w:val="en-US" w:eastAsia="zh-CN"/>
        </w:rPr>
        <w:t>培养内容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硕士生必须修满不少于9</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个学分，方可申请毕业</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包括课程学习学分（≥</w:t>
      </w:r>
      <w:r>
        <w:rPr>
          <w:rFonts w:hint="default"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rPr>
        <w:t>学分）、</w:t>
      </w:r>
      <w:r>
        <w:rPr>
          <w:rFonts w:hint="default" w:ascii="Times New Roman" w:hAnsi="Times New Roman" w:eastAsia="仿宋_GB2312" w:cs="Times New Roman"/>
          <w:sz w:val="32"/>
          <w:szCs w:val="32"/>
          <w:lang w:val="en-US" w:eastAsia="zh-CN"/>
        </w:rPr>
        <w:t>专业</w:t>
      </w:r>
      <w:r>
        <w:rPr>
          <w:rFonts w:hint="default" w:ascii="Times New Roman" w:hAnsi="Times New Roman" w:eastAsia="仿宋_GB2312" w:cs="Times New Roman"/>
          <w:sz w:val="32"/>
          <w:szCs w:val="32"/>
        </w:rPr>
        <w:t>实践</w:t>
      </w:r>
      <w:r>
        <w:rPr>
          <w:rFonts w:hint="default" w:ascii="Times New Roman" w:hAnsi="Times New Roman" w:eastAsia="仿宋_GB2312" w:cs="Times New Roman"/>
          <w:sz w:val="32"/>
          <w:szCs w:val="32"/>
          <w:lang w:val="en-US" w:eastAsia="zh-CN"/>
        </w:rPr>
        <w:t>学分</w:t>
      </w:r>
      <w:r>
        <w:rPr>
          <w:rFonts w:hint="default" w:ascii="Times New Roman" w:hAnsi="Times New Roman" w:eastAsia="仿宋_GB2312" w:cs="Times New Roman"/>
          <w:sz w:val="32"/>
          <w:szCs w:val="32"/>
        </w:rPr>
        <w:t>(30学分)、开题学分（5学分）、中期考核学分(5学分)、学位论文学分(25学分)、学术活动学分(5学分)。</w:t>
      </w:r>
      <w:bookmarkStart w:id="1" w:name="_Toc4380596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申请学位者，除获得毕业要求的学分外，另需获得</w:t>
      </w:r>
      <w:r>
        <w:rPr>
          <w:rFonts w:hint="default" w:ascii="Times New Roman" w:hAnsi="Times New Roman" w:eastAsia="仿宋_GB2312" w:cs="Times New Roman"/>
          <w:sz w:val="32"/>
          <w:szCs w:val="32"/>
          <w:lang w:val="en-US" w:eastAsia="zh-CN"/>
        </w:rPr>
        <w:t>学术成果</w:t>
      </w:r>
      <w:r>
        <w:rPr>
          <w:rFonts w:hint="default" w:ascii="Times New Roman" w:hAnsi="Times New Roman" w:eastAsia="仿宋_GB2312" w:cs="Times New Roman"/>
          <w:sz w:val="32"/>
          <w:szCs w:val="32"/>
        </w:rPr>
        <w:t>学分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10学分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rPr>
      </w:pPr>
      <w:bookmarkStart w:id="2" w:name="_Hlk89415933"/>
      <w:r>
        <w:rPr>
          <w:rFonts w:hint="default" w:ascii="Times New Roman" w:hAnsi="Times New Roman" w:eastAsia="楷体" w:cs="Times New Roman"/>
          <w:b w:val="0"/>
          <w:sz w:val="32"/>
          <w:szCs w:val="32"/>
        </w:rPr>
        <w:t>（一）培养计划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培养计划是硕士生入学后由导师根据培养方案并结合硕士生的个人特点制订的。培养计划应对课程学习、文献阅读、科学研究、学位论文工作的预期目标及进度、</w:t>
      </w:r>
      <w:r>
        <w:rPr>
          <w:rFonts w:hint="default" w:ascii="Times New Roman" w:hAnsi="Times New Roman" w:eastAsia="仿宋_GB2312" w:cs="Times New Roman"/>
          <w:b w:val="0"/>
          <w:bCs w:val="0"/>
          <w:sz w:val="32"/>
          <w:szCs w:val="32"/>
          <w:lang w:val="en-US" w:eastAsia="zh-CN"/>
        </w:rPr>
        <w:t>专业</w:t>
      </w:r>
      <w:r>
        <w:rPr>
          <w:rFonts w:hint="default" w:ascii="Times New Roman" w:hAnsi="Times New Roman" w:eastAsia="仿宋_GB2312" w:cs="Times New Roman"/>
          <w:b w:val="0"/>
          <w:bCs w:val="0"/>
          <w:sz w:val="32"/>
          <w:szCs w:val="32"/>
        </w:rPr>
        <w:t>实践</w:t>
      </w:r>
      <w:r>
        <w:rPr>
          <w:rFonts w:hint="default" w:ascii="Times New Roman" w:hAnsi="Times New Roman" w:eastAsia="仿宋_GB2312" w:cs="Times New Roman"/>
          <w:sz w:val="32"/>
          <w:szCs w:val="32"/>
        </w:rPr>
        <w:t>等做出安排，明确导师小组成员名单及分工。培养计划应在硕士生入学后第一学期内完成，并经所在学院、研究生院审批后执行。</w:t>
      </w:r>
      <w:bookmarkEnd w:id="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rPr>
      </w:pPr>
      <w:r>
        <w:rPr>
          <w:rFonts w:hint="default" w:ascii="Times New Roman" w:hAnsi="Times New Roman" w:eastAsia="楷体" w:cs="Times New Roman"/>
          <w:b w:val="0"/>
          <w:sz w:val="32"/>
          <w:szCs w:val="32"/>
        </w:rPr>
        <w:t>（</w:t>
      </w:r>
      <w:r>
        <w:rPr>
          <w:rFonts w:hint="default" w:ascii="Times New Roman" w:hAnsi="Times New Roman" w:eastAsia="楷体" w:cs="Times New Roman"/>
          <w:b w:val="0"/>
          <w:sz w:val="32"/>
          <w:szCs w:val="32"/>
          <w:lang w:val="en-US" w:eastAsia="zh-CN"/>
        </w:rPr>
        <w:t>二</w:t>
      </w:r>
      <w:r>
        <w:rPr>
          <w:rFonts w:hint="default" w:ascii="Times New Roman" w:hAnsi="Times New Roman" w:eastAsia="楷体" w:cs="Times New Roman"/>
          <w:b w:val="0"/>
          <w:sz w:val="32"/>
          <w:szCs w:val="32"/>
        </w:rPr>
        <w:t>）课程学习</w:t>
      </w:r>
      <w:bookmarkEnd w:id="1"/>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硕士生必须修完所在专业培养方案要求的全部课程学分，未完成本专业规定课程学分者须延长学习年限。</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硕士生课程分为</w:t>
      </w:r>
      <w:r>
        <w:rPr>
          <w:rFonts w:hint="default" w:ascii="Times New Roman" w:hAnsi="Times New Roman" w:eastAsia="仿宋_GB2312" w:cs="Times New Roman"/>
          <w:sz w:val="32"/>
          <w:szCs w:val="32"/>
          <w:lang w:val="en-US" w:eastAsia="zh-CN"/>
        </w:rPr>
        <w:t>必修课程</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必选课程和选修课程</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总</w:t>
      </w:r>
      <w:r>
        <w:rPr>
          <w:rFonts w:hint="default" w:ascii="Times New Roman" w:hAnsi="Times New Roman" w:eastAsia="仿宋_GB2312" w:cs="Times New Roman"/>
          <w:sz w:val="32"/>
          <w:szCs w:val="32"/>
        </w:rPr>
        <w:t>学分为</w:t>
      </w:r>
      <w:r>
        <w:rPr>
          <w:rFonts w:hint="default"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rPr>
        <w:t>学分，具体课程设置见附录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课程成绩达60分以上（含60分）为及格。申请学位者，所有课程加权平均成绩必须达75分以上（含75分）。凡课程不及格或课程加权平均成绩未达规定要求者可申请重修。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lang w:val="en-US"/>
        </w:rPr>
      </w:pPr>
      <w:bookmarkStart w:id="3" w:name="_Toc43805965"/>
      <w:r>
        <w:rPr>
          <w:rFonts w:hint="default" w:ascii="Times New Roman" w:hAnsi="Times New Roman" w:eastAsia="楷体" w:cs="Times New Roman"/>
          <w:b w:val="0"/>
          <w:sz w:val="32"/>
          <w:szCs w:val="32"/>
        </w:rPr>
        <w:t>（</w:t>
      </w:r>
      <w:r>
        <w:rPr>
          <w:rFonts w:hint="default" w:ascii="Times New Roman" w:hAnsi="Times New Roman" w:eastAsia="楷体" w:cs="Times New Roman"/>
          <w:b w:val="0"/>
          <w:sz w:val="32"/>
          <w:szCs w:val="32"/>
          <w:lang w:val="en-US" w:eastAsia="zh-CN"/>
        </w:rPr>
        <w:t>三</w:t>
      </w:r>
      <w:r>
        <w:rPr>
          <w:rFonts w:hint="default" w:ascii="Times New Roman" w:hAnsi="Times New Roman" w:eastAsia="楷体" w:cs="Times New Roman"/>
          <w:b w:val="0"/>
          <w:sz w:val="32"/>
          <w:szCs w:val="32"/>
        </w:rPr>
        <w:t>）</w:t>
      </w:r>
      <w:r>
        <w:rPr>
          <w:rFonts w:hint="default" w:ascii="Times New Roman" w:hAnsi="Times New Roman" w:eastAsia="楷体" w:cs="Times New Roman"/>
          <w:b w:val="0"/>
          <w:sz w:val="32"/>
          <w:szCs w:val="32"/>
          <w:lang w:val="en-US" w:eastAsia="zh-CN"/>
        </w:rPr>
        <w:t>专业实践</w:t>
      </w:r>
    </w:p>
    <w:bookmarkEnd w:id="3"/>
    <w:p>
      <w:pPr>
        <w:keepNext w:val="0"/>
        <w:keepLines w:val="0"/>
        <w:pageBreakBefore w:val="0"/>
        <w:kinsoku/>
        <w:wordWrap/>
        <w:overflowPunct/>
        <w:topLinePunct w:val="0"/>
        <w:autoSpaceDE/>
        <w:autoSpaceDN/>
        <w:bidi w:val="0"/>
        <w:snapToGrid/>
        <w:spacing w:line="560" w:lineRule="exact"/>
        <w:ind w:left="0" w:firstLine="640" w:firstLineChars="200"/>
        <w:jc w:val="lef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专业学位研究生必须在培养单位指定的实践基地进行实践学习，必要时在有关实践基地内进行轮转，</w:t>
      </w:r>
      <w:r>
        <w:rPr>
          <w:rFonts w:hint="default" w:ascii="Times New Roman" w:hAnsi="Times New Roman" w:eastAsia="仿宋_GB2312" w:cs="Times New Roman"/>
          <w:sz w:val="32"/>
          <w:szCs w:val="32"/>
          <w:highlight w:val="none"/>
        </w:rPr>
        <w:t>实习实践时间一般不少于</w:t>
      </w:r>
      <w:r>
        <w:rPr>
          <w:rFonts w:hint="default"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个月。</w:t>
      </w:r>
      <w:r>
        <w:rPr>
          <w:rFonts w:hint="default" w:ascii="Times New Roman" w:hAnsi="Times New Roman" w:eastAsia="仿宋_GB2312" w:cs="Times New Roman"/>
          <w:sz w:val="32"/>
          <w:szCs w:val="32"/>
        </w:rPr>
        <w:t>研究生完成药学实践后，需撰写总字数不少于3000字的《药学硕士专业学位研究生专业实践总结报告》</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同时提交</w:t>
      </w:r>
      <w:r>
        <w:rPr>
          <w:rFonts w:hint="default" w:ascii="Times New Roman" w:hAnsi="Times New Roman" w:eastAsia="仿宋_GB2312" w:cs="Times New Roman"/>
          <w:sz w:val="32"/>
          <w:szCs w:val="32"/>
          <w:lang w:val="en-US" w:eastAsia="zh-CN"/>
        </w:rPr>
        <w:t>实践学习手册</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总结</w:t>
      </w:r>
      <w:r>
        <w:rPr>
          <w:rFonts w:hint="default" w:ascii="Times New Roman" w:hAnsi="Times New Roman" w:eastAsia="仿宋_GB2312" w:cs="Times New Roman"/>
          <w:sz w:val="32"/>
          <w:szCs w:val="32"/>
        </w:rPr>
        <w:t>考核合格后获得</w:t>
      </w:r>
      <w:r>
        <w:rPr>
          <w:rFonts w:hint="default"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学分。</w:t>
      </w:r>
    </w:p>
    <w:p>
      <w:pPr>
        <w:keepNext w:val="0"/>
        <w:keepLines w:val="0"/>
        <w:pageBreakBefore w:val="0"/>
        <w:kinsoku/>
        <w:wordWrap/>
        <w:overflowPunct/>
        <w:topLinePunct w:val="0"/>
        <w:autoSpaceDE/>
        <w:autoSpaceDN/>
        <w:bidi w:val="0"/>
        <w:snapToGrid/>
        <w:spacing w:line="560" w:lineRule="exact"/>
        <w:ind w:left="0"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实践的主要内容按不同领域而定</w:t>
      </w:r>
      <w:r>
        <w:rPr>
          <w:rFonts w:hint="default" w:ascii="Times New Roman" w:hAnsi="Times New Roman" w:eastAsia="仿宋_GB2312" w:cs="Times New Roman"/>
          <w:sz w:val="32"/>
          <w:szCs w:val="32"/>
          <w:lang w:eastAsia="zh-CN"/>
        </w:rPr>
        <w:t>：</w:t>
      </w:r>
    </w:p>
    <w:p>
      <w:pPr>
        <w:keepNext w:val="0"/>
        <w:keepLines w:val="0"/>
        <w:pageBreakBefore w:val="0"/>
        <w:numPr>
          <w:ilvl w:val="0"/>
          <w:numId w:val="0"/>
        </w:numPr>
        <w:kinsoku/>
        <w:wordWrap/>
        <w:overflowPunct/>
        <w:topLinePunct w:val="0"/>
        <w:autoSpaceDE/>
        <w:autoSpaceDN/>
        <w:bidi w:val="0"/>
        <w:snapToGrid/>
        <w:spacing w:line="56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临床药学</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研究生</w:t>
      </w:r>
      <w:r>
        <w:rPr>
          <w:rFonts w:hint="default" w:ascii="Times New Roman" w:hAnsi="Times New Roman" w:eastAsia="仿宋_GB2312" w:cs="Times New Roman"/>
          <w:sz w:val="32"/>
          <w:szCs w:val="32"/>
        </w:rPr>
        <w:t>须在医院药学部和临床研究进行实践。参与临床用药工作，发现、解决、预防潜在的或实际的用药问题，包括参与治疗方案设计，参加日常查房、会诊、病例讨论，提出用药意见，审核医师药师药物治疗医嘱或处方的合理性，提出调整用药意见，发现、纠正用药失误和滥用药物；结合临床用药，适度开展药学科研；查阅资料，为患者和医务人员提供正确、清楚、明确的用药信息与咨询服务。</w:t>
      </w:r>
    </w:p>
    <w:p>
      <w:pPr>
        <w:keepNext w:val="0"/>
        <w:keepLines w:val="0"/>
        <w:pageBreakBefore w:val="0"/>
        <w:kinsoku/>
        <w:wordWrap/>
        <w:overflowPunct/>
        <w:topLinePunct w:val="0"/>
        <w:autoSpaceDE/>
        <w:autoSpaceDN/>
        <w:bidi w:val="0"/>
        <w:snapToGrid/>
        <w:spacing w:line="56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2.工业药学：研究生</w:t>
      </w:r>
      <w:r>
        <w:rPr>
          <w:rFonts w:hint="default" w:ascii="Times New Roman" w:hAnsi="Times New Roman" w:eastAsia="仿宋_GB2312" w:cs="Times New Roman"/>
          <w:sz w:val="32"/>
          <w:szCs w:val="32"/>
        </w:rPr>
        <w:t>须在</w:t>
      </w:r>
      <w:r>
        <w:rPr>
          <w:rFonts w:hint="default" w:ascii="Times New Roman" w:hAnsi="Times New Roman" w:eastAsia="仿宋_GB2312" w:cs="Times New Roman"/>
          <w:sz w:val="32"/>
          <w:szCs w:val="32"/>
          <w:lang w:val="en-US" w:eastAsia="zh-CN"/>
        </w:rPr>
        <w:t>校内建设的药物联合研发实验室或</w:t>
      </w:r>
      <w:r>
        <w:rPr>
          <w:rFonts w:hint="default" w:ascii="Times New Roman" w:hAnsi="Times New Roman" w:eastAsia="仿宋_GB2312" w:cs="Times New Roman"/>
          <w:sz w:val="32"/>
          <w:szCs w:val="32"/>
        </w:rPr>
        <w:t>药企</w:t>
      </w:r>
      <w:r>
        <w:rPr>
          <w:rFonts w:hint="default" w:ascii="Times New Roman" w:hAnsi="Times New Roman" w:eastAsia="仿宋_GB2312" w:cs="Times New Roman"/>
          <w:sz w:val="32"/>
          <w:szCs w:val="32"/>
          <w:lang w:val="en-US" w:eastAsia="zh-CN"/>
        </w:rPr>
        <w:t>等</w:t>
      </w:r>
      <w:r>
        <w:rPr>
          <w:rFonts w:hint="default" w:ascii="Times New Roman" w:hAnsi="Times New Roman" w:eastAsia="仿宋_GB2312" w:cs="Times New Roman"/>
          <w:sz w:val="32"/>
          <w:szCs w:val="32"/>
        </w:rPr>
        <w:t>实践基地进行实践。从事药物研发、工艺改进和生产不同领域的</w:t>
      </w:r>
      <w:r>
        <w:rPr>
          <w:rFonts w:hint="default" w:ascii="Times New Roman" w:hAnsi="Times New Roman" w:eastAsia="仿宋_GB2312" w:cs="Times New Roman"/>
          <w:sz w:val="32"/>
          <w:szCs w:val="32"/>
          <w:lang w:val="en-US" w:eastAsia="zh-CN"/>
        </w:rPr>
        <w:t>工作</w:t>
      </w:r>
      <w:r>
        <w:rPr>
          <w:rFonts w:hint="default" w:ascii="Times New Roman" w:hAnsi="Times New Roman" w:eastAsia="仿宋_GB2312" w:cs="Times New Roman"/>
          <w:sz w:val="32"/>
          <w:szCs w:val="32"/>
        </w:rPr>
        <w:t>，主要掌握制药过程中上游技术到中试、发酵、生产阶段的常用技术和设备，发现和解决生产实践过程中常见问题。在导师的指导下设计方案并实际解决生产中遇到的困难与问题。</w:t>
      </w:r>
    </w:p>
    <w:p>
      <w:pPr>
        <w:keepNext w:val="0"/>
        <w:keepLines w:val="0"/>
        <w:pageBreakBefore w:val="0"/>
        <w:kinsoku/>
        <w:wordWrap/>
        <w:overflowPunct/>
        <w:topLinePunct w:val="0"/>
        <w:autoSpaceDE/>
        <w:autoSpaceDN/>
        <w:bidi w:val="0"/>
        <w:snapToGrid/>
        <w:spacing w:line="560" w:lineRule="exact"/>
        <w:ind w:left="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3.管理药学：研究生</w:t>
      </w:r>
      <w:r>
        <w:rPr>
          <w:rFonts w:hint="default" w:ascii="Times New Roman" w:hAnsi="Times New Roman" w:eastAsia="仿宋_GB2312" w:cs="Times New Roman"/>
          <w:sz w:val="32"/>
          <w:szCs w:val="32"/>
        </w:rPr>
        <w:t>须</w:t>
      </w:r>
      <w:r>
        <w:rPr>
          <w:rFonts w:hint="default" w:ascii="Times New Roman" w:hAnsi="Times New Roman" w:eastAsia="仿宋_GB2312" w:cs="Times New Roman"/>
          <w:sz w:val="32"/>
          <w:szCs w:val="32"/>
          <w:lang w:val="en-US" w:eastAsia="zh-CN"/>
        </w:rPr>
        <w:t>在各类医药工商企业、药品监督管理及相关机构</w:t>
      </w:r>
      <w:r>
        <w:rPr>
          <w:rFonts w:hint="default" w:ascii="Times New Roman" w:hAnsi="Times New Roman" w:eastAsia="仿宋_GB2312" w:cs="Times New Roman"/>
          <w:sz w:val="32"/>
          <w:szCs w:val="32"/>
        </w:rPr>
        <w:t>进行实践。</w:t>
      </w:r>
      <w:r>
        <w:rPr>
          <w:rFonts w:hint="default" w:ascii="Times New Roman" w:hAnsi="Times New Roman" w:eastAsia="仿宋_GB2312" w:cs="Times New Roman"/>
          <w:sz w:val="32"/>
          <w:szCs w:val="32"/>
          <w:lang w:val="en-US" w:eastAsia="zh-CN"/>
        </w:rPr>
        <w:t>从事医药领域社会或经济学等问题的分析、评估和研究，或药事与企业管理、分析、策划等方面的工作。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lang w:eastAsia="zh-CN"/>
        </w:rPr>
      </w:pPr>
      <w:r>
        <w:rPr>
          <w:rFonts w:hint="default" w:ascii="Times New Roman" w:hAnsi="Times New Roman" w:eastAsia="楷体" w:cs="Times New Roman"/>
          <w:b w:val="0"/>
          <w:sz w:val="32"/>
          <w:szCs w:val="32"/>
        </w:rPr>
        <w:t>（</w:t>
      </w:r>
      <w:r>
        <w:rPr>
          <w:rFonts w:hint="default" w:ascii="Times New Roman" w:hAnsi="Times New Roman" w:eastAsia="楷体" w:cs="Times New Roman"/>
          <w:b w:val="0"/>
          <w:sz w:val="32"/>
          <w:szCs w:val="32"/>
          <w:lang w:val="en-US" w:eastAsia="zh-CN"/>
        </w:rPr>
        <w:t>四</w:t>
      </w:r>
      <w:r>
        <w:rPr>
          <w:rFonts w:hint="default" w:ascii="Times New Roman" w:hAnsi="Times New Roman" w:eastAsia="楷体" w:cs="Times New Roman"/>
          <w:b w:val="0"/>
          <w:sz w:val="32"/>
          <w:szCs w:val="32"/>
        </w:rPr>
        <w:t>）开题</w:t>
      </w:r>
      <w:r>
        <w:rPr>
          <w:rFonts w:hint="default" w:ascii="Times New Roman" w:hAnsi="Times New Roman" w:eastAsia="楷体" w:cs="Times New Roman"/>
          <w:b w:val="0"/>
          <w:sz w:val="32"/>
          <w:szCs w:val="32"/>
          <w:lang w:val="en-US" w:eastAsia="zh-CN"/>
        </w:rPr>
        <w:t>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bookmarkStart w:id="4" w:name="_Toc43805970"/>
      <w:r>
        <w:rPr>
          <w:rFonts w:hint="default" w:ascii="Times New Roman" w:hAnsi="Times New Roman" w:eastAsia="仿宋_GB2312" w:cs="Times New Roman"/>
          <w:sz w:val="32"/>
          <w:szCs w:val="32"/>
        </w:rPr>
        <w:t>导师指导硕士生，通过查阅收集有关文献资料、调查及预实验研究等，进行论文选题。论文选题要紧密结合药学及相关领域科技转化、注册与申报、生产与技改、推广与流通、药学服务及药品监管等实际问题，注重应用性和实效性。论文可以是针对药学实践领域具有一定经济和社会效益的专题研究等。原则上在第二学期指导硕士生作公开的开题报告，报告其选题依据和研究工作计划。</w:t>
      </w:r>
      <w:bookmarkStart w:id="5" w:name="_Hlk89345202"/>
      <w:r>
        <w:rPr>
          <w:rFonts w:hint="default" w:ascii="Times New Roman" w:hAnsi="Times New Roman" w:eastAsia="仿宋_GB2312" w:cs="Times New Roman"/>
          <w:sz w:val="32"/>
          <w:szCs w:val="32"/>
        </w:rPr>
        <w:t>具体要求按照学校开题报告管理办法执行</w:t>
      </w:r>
      <w:bookmarkEnd w:id="5"/>
      <w:r>
        <w:rPr>
          <w:rFonts w:hint="default" w:ascii="Times New Roman" w:hAnsi="Times New Roman" w:eastAsia="仿宋_GB2312" w:cs="Times New Roman"/>
          <w:sz w:val="32"/>
          <w:szCs w:val="32"/>
        </w:rPr>
        <w:t>。通过开题考核者，方能进入下一个培养阶段。开题通过者计</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学分。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rPr>
      </w:pPr>
      <w:r>
        <w:rPr>
          <w:rFonts w:hint="default" w:ascii="Times New Roman" w:hAnsi="Times New Roman" w:eastAsia="楷体" w:cs="Times New Roman"/>
          <w:b w:val="0"/>
          <w:sz w:val="32"/>
          <w:szCs w:val="32"/>
          <w:lang w:eastAsia="zh-CN"/>
        </w:rPr>
        <w:t>（</w:t>
      </w:r>
      <w:r>
        <w:rPr>
          <w:rFonts w:hint="default" w:ascii="Times New Roman" w:hAnsi="Times New Roman" w:eastAsia="楷体" w:cs="Times New Roman"/>
          <w:b w:val="0"/>
          <w:sz w:val="32"/>
          <w:szCs w:val="32"/>
          <w:lang w:val="en-US" w:eastAsia="zh-CN"/>
        </w:rPr>
        <w:t>五</w:t>
      </w:r>
      <w:r>
        <w:rPr>
          <w:rFonts w:hint="default" w:ascii="Times New Roman" w:hAnsi="Times New Roman" w:eastAsia="楷体" w:cs="Times New Roman"/>
          <w:b w:val="0"/>
          <w:sz w:val="32"/>
          <w:szCs w:val="32"/>
          <w:lang w:eastAsia="zh-CN"/>
        </w:rPr>
        <w:t>）</w:t>
      </w:r>
      <w:r>
        <w:rPr>
          <w:rFonts w:hint="default" w:ascii="Times New Roman" w:hAnsi="Times New Roman" w:eastAsia="楷体" w:cs="Times New Roman"/>
          <w:b w:val="0"/>
          <w:sz w:val="32"/>
          <w:szCs w:val="32"/>
        </w:rPr>
        <w:t>中期考核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研究生中期考核是研究生培养的重要环节，旨在对研究生思想品德、知识掌握与应用、科研与创新能力和专业技术水平等方面进行阶段性总结和评价，合理调整培养计划，激发研究生学习的主动性，确保研究生培养质量。 </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考核时间：</w:t>
      </w:r>
      <w:r>
        <w:rPr>
          <w:rFonts w:hint="default" w:ascii="Times New Roman" w:hAnsi="Times New Roman" w:eastAsia="仿宋_GB2312" w:cs="Times New Roman"/>
          <w:color w:val="auto"/>
          <w:kern w:val="0"/>
          <w:sz w:val="32"/>
          <w:szCs w:val="32"/>
          <w:highlight w:val="none"/>
          <w:lang w:bidi="ar"/>
        </w:rPr>
        <w:t>研究生应在完成学位论文开题之后进行中期考核</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一般</w:t>
      </w:r>
      <w:r>
        <w:rPr>
          <w:rFonts w:hint="default" w:ascii="Times New Roman" w:hAnsi="Times New Roman" w:eastAsia="仿宋_GB2312" w:cs="Times New Roman"/>
          <w:sz w:val="32"/>
          <w:szCs w:val="32"/>
        </w:rPr>
        <w:t>定于第三学期进行。</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pacing w:val="-2"/>
          <w:sz w:val="32"/>
          <w:szCs w:val="32"/>
        </w:rPr>
        <w:t>考核内容：</w:t>
      </w:r>
      <w:r>
        <w:rPr>
          <w:rFonts w:hint="default" w:ascii="Times New Roman" w:hAnsi="Times New Roman" w:eastAsia="仿宋_GB2312" w:cs="Times New Roman"/>
          <w:bCs/>
          <w:sz w:val="32"/>
          <w:szCs w:val="32"/>
        </w:rPr>
        <w:t>详见《</w:t>
      </w:r>
      <w:r>
        <w:rPr>
          <w:rFonts w:hint="default" w:ascii="Times New Roman" w:hAnsi="Times New Roman" w:eastAsia="仿宋_GB2312" w:cs="Times New Roman"/>
          <w:bCs/>
          <w:sz w:val="32"/>
          <w:szCs w:val="32"/>
          <w:lang w:val="en-US" w:eastAsia="zh-CN"/>
        </w:rPr>
        <w:t>温州医科大学研究生中期考核管理办法</w:t>
      </w:r>
      <w:r>
        <w:rPr>
          <w:rFonts w:hint="default" w:ascii="Times New Roman" w:hAnsi="Times New Roman" w:eastAsia="仿宋_GB2312" w:cs="Times New Roman"/>
          <w:bCs/>
          <w:sz w:val="32"/>
          <w:szCs w:val="32"/>
        </w:rPr>
        <w:t>》</w:t>
      </w:r>
      <w:r>
        <w:rPr>
          <w:rFonts w:hint="default" w:ascii="Times New Roman" w:hAnsi="Times New Roman" w:eastAsia="仿宋_GB2312" w:cs="Times New Roman"/>
          <w:color w:val="000000"/>
          <w:kern w:val="0"/>
          <w:sz w:val="32"/>
          <w:szCs w:val="32"/>
          <w:lang w:bidi="ar"/>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考核小组组成：一般由3-5名具有高级技术职称的专家组成。</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考核结果处理：</w:t>
      </w:r>
      <w:r>
        <w:rPr>
          <w:rFonts w:hint="default" w:ascii="Times New Roman" w:hAnsi="Times New Roman" w:eastAsia="仿宋_GB2312" w:cs="Times New Roman"/>
          <w:color w:val="000000"/>
          <w:kern w:val="0"/>
          <w:sz w:val="32"/>
          <w:szCs w:val="32"/>
          <w:lang w:bidi="ar"/>
        </w:rPr>
        <w:t>中期考核结果为</w:t>
      </w:r>
      <w:r>
        <w:rPr>
          <w:rFonts w:hint="default" w:ascii="Times New Roman" w:hAnsi="Times New Roman" w:eastAsia="仿宋_GB2312" w:cs="Times New Roman"/>
          <w:sz w:val="32"/>
          <w:szCs w:val="32"/>
        </w:rPr>
        <w:t>合格</w:t>
      </w:r>
      <w:r>
        <w:rPr>
          <w:rFonts w:hint="default" w:ascii="Times New Roman" w:hAnsi="Times New Roman" w:eastAsia="仿宋_GB2312" w:cs="Times New Roman"/>
          <w:sz w:val="32"/>
          <w:szCs w:val="32"/>
          <w:lang w:val="en-US" w:eastAsia="zh-CN"/>
        </w:rPr>
        <w:t>者，</w:t>
      </w:r>
      <w:r>
        <w:rPr>
          <w:rFonts w:hint="default" w:ascii="Times New Roman" w:hAnsi="Times New Roman" w:eastAsia="仿宋_GB2312" w:cs="Times New Roman"/>
          <w:sz w:val="32"/>
          <w:szCs w:val="32"/>
        </w:rPr>
        <w:t>可</w:t>
      </w:r>
      <w:r>
        <w:rPr>
          <w:rFonts w:hint="default" w:ascii="Times New Roman" w:hAnsi="Times New Roman" w:eastAsia="仿宋_GB2312" w:cs="Times New Roman"/>
          <w:sz w:val="32"/>
          <w:szCs w:val="32"/>
          <w:lang w:val="en-US" w:eastAsia="zh-CN"/>
        </w:rPr>
        <w:t>直接</w:t>
      </w:r>
      <w:r>
        <w:rPr>
          <w:rFonts w:hint="default" w:ascii="Times New Roman" w:hAnsi="Times New Roman" w:eastAsia="仿宋_GB2312" w:cs="Times New Roman"/>
          <w:sz w:val="32"/>
          <w:szCs w:val="32"/>
        </w:rPr>
        <w:t>进入下一轮培养环节</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kern w:val="0"/>
          <w:sz w:val="32"/>
          <w:szCs w:val="32"/>
          <w:lang w:bidi="ar"/>
        </w:rPr>
        <w:t>考核结果为限期</w:t>
      </w:r>
      <w:r>
        <w:rPr>
          <w:rFonts w:hint="default" w:ascii="Times New Roman" w:hAnsi="Times New Roman" w:eastAsia="仿宋_GB2312" w:cs="Times New Roman"/>
          <w:color w:val="000000"/>
          <w:kern w:val="0"/>
          <w:sz w:val="32"/>
          <w:szCs w:val="32"/>
          <w:lang w:val="en-US" w:eastAsia="zh-CN" w:bidi="ar"/>
        </w:rPr>
        <w:t>修改</w:t>
      </w:r>
      <w:r>
        <w:rPr>
          <w:rFonts w:hint="default" w:ascii="Times New Roman" w:hAnsi="Times New Roman" w:eastAsia="仿宋_GB2312" w:cs="Times New Roman"/>
          <w:color w:val="000000"/>
          <w:kern w:val="0"/>
          <w:sz w:val="32"/>
          <w:szCs w:val="32"/>
          <w:lang w:bidi="ar"/>
        </w:rPr>
        <w:t>者，可在6个月后向学院提出中期考核复审申请；考核结果为不合格者，延期一年毕业，在12个月后提出中期</w:t>
      </w:r>
      <w:r>
        <w:rPr>
          <w:rFonts w:hint="default" w:ascii="Times New Roman" w:hAnsi="Times New Roman" w:eastAsia="仿宋_GB2312" w:cs="Times New Roman"/>
          <w:color w:val="000000"/>
          <w:kern w:val="0"/>
          <w:sz w:val="32"/>
          <w:szCs w:val="32"/>
          <w:highlight w:val="none"/>
          <w:lang w:bidi="ar"/>
        </w:rPr>
        <w:t>补考核申请，复审、补考核</w:t>
      </w:r>
      <w:r>
        <w:rPr>
          <w:rFonts w:hint="default" w:ascii="Times New Roman" w:hAnsi="Times New Roman" w:eastAsia="仿宋_GB2312" w:cs="Times New Roman"/>
          <w:sz w:val="32"/>
          <w:szCs w:val="32"/>
        </w:rPr>
        <w:t>合格后方可进入下一轮培养环节。中期考核合格计</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学分。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lang w:val="en-US" w:eastAsia="zh-CN"/>
        </w:rPr>
      </w:pPr>
      <w:r>
        <w:rPr>
          <w:rFonts w:hint="default" w:ascii="Times New Roman" w:hAnsi="Times New Roman" w:eastAsia="楷体" w:cs="Times New Roman"/>
          <w:b w:val="0"/>
          <w:sz w:val="32"/>
          <w:szCs w:val="32"/>
        </w:rPr>
        <w:t>（</w:t>
      </w:r>
      <w:r>
        <w:rPr>
          <w:rFonts w:hint="default" w:ascii="Times New Roman" w:hAnsi="Times New Roman" w:eastAsia="楷体" w:cs="Times New Roman"/>
          <w:b w:val="0"/>
          <w:sz w:val="32"/>
          <w:szCs w:val="32"/>
          <w:lang w:val="en-US" w:eastAsia="zh-CN"/>
        </w:rPr>
        <w:t>六</w:t>
      </w:r>
      <w:r>
        <w:rPr>
          <w:rFonts w:hint="default" w:ascii="Times New Roman" w:hAnsi="Times New Roman" w:eastAsia="楷体" w:cs="Times New Roman"/>
          <w:b w:val="0"/>
          <w:sz w:val="32"/>
          <w:szCs w:val="32"/>
        </w:rPr>
        <w:t>）</w:t>
      </w:r>
      <w:bookmarkStart w:id="6" w:name="_Hlk89345263"/>
      <w:r>
        <w:rPr>
          <w:rFonts w:hint="default" w:ascii="Times New Roman" w:hAnsi="Times New Roman" w:eastAsia="楷体" w:cs="Times New Roman"/>
          <w:b w:val="0"/>
          <w:sz w:val="32"/>
          <w:szCs w:val="32"/>
          <w:lang w:val="en-US" w:eastAsia="zh-CN"/>
        </w:rPr>
        <w:t>学位论文</w:t>
      </w:r>
    </w:p>
    <w:p>
      <w:pPr>
        <w:spacing w:line="560" w:lineRule="exact"/>
        <w:ind w:firstLine="640" w:firstLineChars="200"/>
        <w:rPr>
          <w:rFonts w:hint="default" w:ascii="Times New Roman" w:hAnsi="Times New Roman" w:cs="Times New Roman"/>
          <w:sz w:val="32"/>
          <w:szCs w:val="32"/>
        </w:rPr>
      </w:pPr>
      <w:r>
        <w:rPr>
          <w:rFonts w:hint="default" w:ascii="Times New Roman" w:hAnsi="Times New Roman" w:eastAsia="仿宋_GB2312" w:cs="Times New Roman"/>
          <w:color w:val="000000"/>
          <w:sz w:val="32"/>
          <w:szCs w:val="32"/>
        </w:rPr>
        <w:t>硕士生按要求撰写学位论文</w:t>
      </w:r>
      <w:bookmarkEnd w:id="6"/>
      <w:r>
        <w:rPr>
          <w:rFonts w:hint="default" w:ascii="Times New Roman" w:hAnsi="Times New Roman" w:eastAsia="仿宋_GB2312" w:cs="Times New Roman"/>
          <w:color w:val="000000"/>
          <w:sz w:val="32"/>
          <w:szCs w:val="32"/>
        </w:rPr>
        <w:t>，通过评阅和答辩者，获</w:t>
      </w:r>
      <w:r>
        <w:rPr>
          <w:rFonts w:hint="default" w:ascii="Times New Roman" w:hAnsi="Times New Roman" w:eastAsia="仿宋_GB2312" w:cs="Times New Roman"/>
          <w:color w:val="000000"/>
          <w:sz w:val="32"/>
          <w:szCs w:val="32"/>
          <w:lang w:val="en-US" w:eastAsia="zh-CN"/>
        </w:rPr>
        <w:t>25</w:t>
      </w:r>
      <w:r>
        <w:rPr>
          <w:rFonts w:hint="default" w:ascii="Times New Roman" w:hAnsi="Times New Roman" w:eastAsia="仿宋_GB2312" w:cs="Times New Roman"/>
          <w:color w:val="000000"/>
          <w:sz w:val="32"/>
          <w:szCs w:val="32"/>
        </w:rPr>
        <w:t>学分</w:t>
      </w:r>
      <w:bookmarkStart w:id="7" w:name="_Hlk89345272"/>
      <w:r>
        <w:rPr>
          <w:rFonts w:hint="default" w:ascii="Times New Roman" w:hAnsi="Times New Roman" w:eastAsia="仿宋_GB2312" w:cs="Times New Roman"/>
          <w:color w:val="000000"/>
          <w:sz w:val="32"/>
          <w:szCs w:val="32"/>
        </w:rPr>
        <w:t>，有关论文撰写基本要求和格式、评阅和答辩的具体要求按照学校相应文件执行</w:t>
      </w:r>
      <w:bookmarkEnd w:id="7"/>
      <w:r>
        <w:rPr>
          <w:rFonts w:hint="default" w:ascii="Times New Roman" w:hAnsi="Times New Roman" w:eastAsia="仿宋_GB2312" w:cs="Times New Roman"/>
          <w:color w:val="000000"/>
          <w:sz w:val="32"/>
          <w:szCs w:val="32"/>
        </w:rPr>
        <w:t>。</w:t>
      </w:r>
    </w:p>
    <w:bookmarkEnd w:id="4"/>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lang w:val="en-US" w:eastAsia="zh-CN"/>
        </w:rPr>
      </w:pPr>
      <w:r>
        <w:rPr>
          <w:rFonts w:hint="default" w:ascii="Times New Roman" w:hAnsi="Times New Roman" w:eastAsia="楷体" w:cs="Times New Roman"/>
          <w:b w:val="0"/>
          <w:sz w:val="32"/>
          <w:szCs w:val="32"/>
          <w:lang w:val="en-US" w:eastAsia="zh-CN"/>
        </w:rPr>
        <w:t>（七）学术活动</w:t>
      </w:r>
    </w:p>
    <w:p>
      <w:pPr>
        <w:keepNext w:val="0"/>
        <w:keepLines w:val="0"/>
        <w:pageBreakBefore w:val="0"/>
        <w:kinsoku/>
        <w:wordWrap/>
        <w:overflowPunct/>
        <w:topLinePunct w:val="0"/>
        <w:autoSpaceDE/>
        <w:autoSpaceDN/>
        <w:bidi w:val="0"/>
        <w:snapToGrid/>
        <w:spacing w:line="56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研究生应积极参加与本专业</w:t>
      </w:r>
      <w:r>
        <w:rPr>
          <w:rFonts w:hint="default" w:ascii="Times New Roman" w:hAnsi="Times New Roman" w:eastAsia="仿宋_GB2312" w:cs="Times New Roman"/>
          <w:color w:val="000000"/>
          <w:sz w:val="32"/>
          <w:szCs w:val="32"/>
          <w:lang w:val="en-US" w:eastAsia="zh-CN"/>
        </w:rPr>
        <w:t>相</w:t>
      </w:r>
      <w:r>
        <w:rPr>
          <w:rFonts w:hint="default" w:ascii="Times New Roman" w:hAnsi="Times New Roman" w:eastAsia="仿宋_GB2312" w:cs="Times New Roman"/>
          <w:color w:val="000000"/>
          <w:sz w:val="32"/>
          <w:szCs w:val="32"/>
        </w:rPr>
        <w:t>关的学术活动，以获取更多的科研信息，拓宽知识范围提高科研创新能力。</w:t>
      </w:r>
      <w:r>
        <w:rPr>
          <w:rFonts w:hint="default" w:ascii="Times New Roman" w:hAnsi="Times New Roman" w:eastAsia="仿宋_GB2312" w:cs="Times New Roman"/>
          <w:sz w:val="32"/>
          <w:szCs w:val="32"/>
          <w:lang w:bidi="ar"/>
        </w:rPr>
        <w:t>总计不少于</w:t>
      </w:r>
      <w:r>
        <w:rPr>
          <w:rFonts w:hint="default" w:ascii="Times New Roman" w:hAnsi="Times New Roman" w:eastAsia="仿宋_GB2312" w:cs="Times New Roman"/>
          <w:sz w:val="32"/>
          <w:szCs w:val="32"/>
          <w:lang w:val="en-US" w:eastAsia="zh-CN" w:bidi="ar"/>
        </w:rPr>
        <w:t>5</w:t>
      </w:r>
      <w:r>
        <w:rPr>
          <w:rFonts w:hint="default" w:ascii="Times New Roman" w:hAnsi="Times New Roman" w:eastAsia="仿宋_GB2312" w:cs="Times New Roman"/>
          <w:sz w:val="32"/>
          <w:szCs w:val="32"/>
          <w:lang w:bidi="ar"/>
        </w:rPr>
        <w:t>学分。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、学术活动的学分要求包含以下两个方面</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）公开性学术汇报（不少于</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学分）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①在学院学术会议上作报告（0.5学分/次）；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②在</w:t>
      </w:r>
      <w:r>
        <w:rPr>
          <w:rFonts w:hint="default" w:ascii="Times New Roman" w:hAnsi="Times New Roman" w:eastAsia="仿宋_GB2312" w:cs="Times New Roman"/>
          <w:sz w:val="32"/>
          <w:szCs w:val="32"/>
          <w:lang w:val="en-US" w:eastAsia="zh-CN"/>
        </w:rPr>
        <w:t>学</w:t>
      </w:r>
      <w:r>
        <w:rPr>
          <w:rFonts w:hint="default" w:ascii="Times New Roman" w:hAnsi="Times New Roman" w:eastAsia="仿宋_GB2312" w:cs="Times New Roman"/>
          <w:sz w:val="32"/>
          <w:szCs w:val="32"/>
        </w:rPr>
        <w:t>校级学术会议上作报告（1.0学分/次）；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③</w:t>
      </w:r>
      <w:r>
        <w:rPr>
          <w:rFonts w:hint="default" w:ascii="Times New Roman" w:hAnsi="Times New Roman" w:eastAsia="仿宋_GB2312" w:cs="Times New Roman"/>
          <w:sz w:val="32"/>
          <w:szCs w:val="32"/>
        </w:rPr>
        <w:t>在</w:t>
      </w:r>
      <w:r>
        <w:rPr>
          <w:rFonts w:hint="default" w:ascii="Times New Roman" w:hAnsi="Times New Roman" w:eastAsia="仿宋_GB2312" w:cs="Times New Roman"/>
          <w:sz w:val="32"/>
          <w:szCs w:val="32"/>
          <w:lang w:val="en-US" w:eastAsia="zh-CN"/>
        </w:rPr>
        <w:t>全国</w:t>
      </w:r>
      <w:r>
        <w:rPr>
          <w:rFonts w:hint="default" w:ascii="Times New Roman" w:hAnsi="Times New Roman" w:eastAsia="仿宋_GB2312" w:cs="Times New Roman"/>
          <w:sz w:val="32"/>
          <w:szCs w:val="32"/>
        </w:rPr>
        <w:t>、省、市级学术会议上作报告（1.</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学分/次）；</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④</w:t>
      </w:r>
      <w:r>
        <w:rPr>
          <w:rFonts w:hint="default" w:ascii="Times New Roman" w:hAnsi="Times New Roman" w:eastAsia="仿宋_GB2312" w:cs="Times New Roman"/>
          <w:sz w:val="32"/>
          <w:szCs w:val="32"/>
        </w:rPr>
        <w:t>在</w:t>
      </w:r>
      <w:r>
        <w:rPr>
          <w:rFonts w:hint="default" w:ascii="Times New Roman" w:hAnsi="Times New Roman" w:eastAsia="仿宋_GB2312" w:cs="Times New Roman"/>
          <w:sz w:val="32"/>
          <w:szCs w:val="32"/>
          <w:lang w:val="en-US" w:eastAsia="zh-CN"/>
        </w:rPr>
        <w:t>国际</w:t>
      </w:r>
      <w:r>
        <w:rPr>
          <w:rFonts w:hint="default" w:ascii="Times New Roman" w:hAnsi="Times New Roman" w:eastAsia="仿宋_GB2312" w:cs="Times New Roman"/>
          <w:sz w:val="32"/>
          <w:szCs w:val="32"/>
        </w:rPr>
        <w:t>学术会议上作报告（</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学分/次）；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参加学术活动</w:t>
      </w:r>
      <w:r>
        <w:rPr>
          <w:rFonts w:hint="default" w:ascii="Times New Roman" w:hAnsi="Times New Roman" w:eastAsia="仿宋_GB2312" w:cs="Times New Roman"/>
          <w:sz w:val="32"/>
          <w:szCs w:val="32"/>
        </w:rPr>
        <w:t>（不少于</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学分）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①参加</w:t>
      </w:r>
      <w:r>
        <w:rPr>
          <w:rFonts w:hint="default" w:ascii="Times New Roman" w:hAnsi="Times New Roman" w:eastAsia="仿宋_GB2312" w:cs="Times New Roman"/>
          <w:sz w:val="32"/>
          <w:szCs w:val="32"/>
          <w:lang w:val="en-US" w:eastAsia="zh-CN"/>
        </w:rPr>
        <w:t>学</w:t>
      </w:r>
      <w:r>
        <w:rPr>
          <w:rFonts w:hint="default" w:ascii="Times New Roman" w:hAnsi="Times New Roman" w:eastAsia="仿宋_GB2312" w:cs="Times New Roman"/>
          <w:sz w:val="32"/>
          <w:szCs w:val="32"/>
        </w:rPr>
        <w:t>校、学院组织的学术讲座（0.</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学分/次）；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②参加全国、地区或国际学术会议（</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学分/次）；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③</w:t>
      </w:r>
      <w:r>
        <w:rPr>
          <w:rFonts w:hint="default" w:ascii="Times New Roman" w:hAnsi="Times New Roman" w:eastAsia="仿宋_GB2312" w:cs="Times New Roman"/>
          <w:sz w:val="32"/>
          <w:szCs w:val="32"/>
        </w:rPr>
        <w:t>摘要被全国、地区或国际学术会议接收（1.</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学分/次）；</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④</w:t>
      </w:r>
      <w:r>
        <w:rPr>
          <w:rFonts w:hint="default" w:ascii="Times New Roman" w:hAnsi="Times New Roman" w:eastAsia="仿宋_GB2312" w:cs="Times New Roman"/>
          <w:sz w:val="32"/>
          <w:szCs w:val="32"/>
        </w:rPr>
        <w:t>在全国</w:t>
      </w:r>
      <w:r>
        <w:rPr>
          <w:rFonts w:hint="default" w:ascii="Times New Roman" w:hAnsi="Times New Roman" w:eastAsia="仿宋_GB2312" w:cs="Times New Roman"/>
          <w:sz w:val="32"/>
          <w:szCs w:val="32"/>
          <w:lang w:val="en-US" w:eastAsia="zh-CN"/>
        </w:rPr>
        <w:t>性</w:t>
      </w:r>
      <w:r>
        <w:rPr>
          <w:rFonts w:hint="default" w:ascii="Times New Roman" w:hAnsi="Times New Roman" w:eastAsia="仿宋_GB2312" w:cs="Times New Roman"/>
          <w:sz w:val="32"/>
          <w:szCs w:val="32"/>
        </w:rPr>
        <w:t>学术会议的墙报上展示论文（</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学分/次）；</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⑤在</w:t>
      </w:r>
      <w:r>
        <w:rPr>
          <w:rFonts w:hint="default" w:ascii="Times New Roman" w:hAnsi="Times New Roman" w:eastAsia="仿宋_GB2312" w:cs="Times New Roman"/>
          <w:sz w:val="32"/>
          <w:szCs w:val="32"/>
          <w:lang w:val="en-US" w:eastAsia="zh-CN"/>
        </w:rPr>
        <w:t>国际性</w:t>
      </w:r>
      <w:r>
        <w:rPr>
          <w:rFonts w:hint="default" w:ascii="Times New Roman" w:hAnsi="Times New Roman" w:eastAsia="仿宋_GB2312" w:cs="Times New Roman"/>
          <w:sz w:val="32"/>
          <w:szCs w:val="32"/>
        </w:rPr>
        <w:t>学术会议的墙报上展示论文（</w:t>
      </w:r>
      <w:r>
        <w:rPr>
          <w:rFonts w:hint="default"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学分/次）</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参加学术活动后，应填写《温州医科大学研究生参加学术报告登记卡》，并由主办单位签字或盖章</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参加校外各级学术会议者，须</w:t>
      </w:r>
      <w:r>
        <w:rPr>
          <w:rFonts w:hint="default" w:ascii="Times New Roman" w:hAnsi="Times New Roman" w:eastAsia="仿宋_GB2312" w:cs="Times New Roman"/>
          <w:sz w:val="32"/>
          <w:szCs w:val="32"/>
        </w:rPr>
        <w:t>提交会议通知、会议议程、参会证、现场照片、汇报的ppt（电子版）等凭证</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rPr>
        <w:t>同一篇文章在不同学术会议上发言以最高分计算</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学术活动学分</w:t>
      </w:r>
      <w:r>
        <w:rPr>
          <w:rFonts w:hint="default" w:ascii="Times New Roman" w:hAnsi="Times New Roman" w:eastAsia="仿宋_GB2312" w:cs="Times New Roman"/>
          <w:color w:val="000000"/>
          <w:sz w:val="32"/>
          <w:szCs w:val="32"/>
        </w:rPr>
        <w:t>须在论文评阅前完成</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在申请答辩时，交各所在学院研究生教育管理部门审核、备案。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rPr>
      </w:pPr>
      <w:r>
        <w:rPr>
          <w:rFonts w:hint="default" w:ascii="Times New Roman" w:hAnsi="Times New Roman" w:eastAsia="楷体" w:cs="Times New Roman"/>
          <w:b w:val="0"/>
          <w:sz w:val="32"/>
          <w:szCs w:val="32"/>
        </w:rPr>
        <w:t>（</w:t>
      </w:r>
      <w:r>
        <w:rPr>
          <w:rFonts w:hint="default" w:ascii="Times New Roman" w:hAnsi="Times New Roman" w:eastAsia="楷体" w:cs="Times New Roman"/>
          <w:b w:val="0"/>
          <w:sz w:val="32"/>
          <w:szCs w:val="32"/>
          <w:lang w:val="en-US" w:eastAsia="zh-CN"/>
        </w:rPr>
        <w:t>八</w:t>
      </w:r>
      <w:r>
        <w:rPr>
          <w:rFonts w:hint="default" w:ascii="Times New Roman" w:hAnsi="Times New Roman" w:eastAsia="楷体" w:cs="Times New Roman"/>
          <w:b w:val="0"/>
          <w:sz w:val="32"/>
          <w:szCs w:val="32"/>
        </w:rPr>
        <w:t>）</w:t>
      </w:r>
      <w:r>
        <w:rPr>
          <w:rFonts w:hint="default" w:ascii="Times New Roman" w:hAnsi="Times New Roman" w:eastAsia="楷体" w:cs="Times New Roman"/>
          <w:b w:val="0"/>
          <w:sz w:val="32"/>
          <w:szCs w:val="32"/>
          <w:lang w:val="en-US" w:eastAsia="zh-CN"/>
        </w:rPr>
        <w:t>学术成果</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cs="Times New Roman"/>
          <w:sz w:val="32"/>
          <w:szCs w:val="32"/>
        </w:rPr>
      </w:pPr>
      <w:r>
        <w:rPr>
          <w:rFonts w:hint="default" w:ascii="Times New Roman" w:hAnsi="Times New Roman" w:eastAsia="仿宋_GB2312" w:cs="Times New Roman"/>
          <w:color w:val="000000"/>
          <w:sz w:val="32"/>
          <w:szCs w:val="32"/>
        </w:rPr>
        <w:t>获得符合申请学位要求的学术成果计10学分。申请学位学术成果认定详见</w:t>
      </w:r>
      <w:r>
        <w:rPr>
          <w:rFonts w:hint="default" w:ascii="Times New Roman" w:hAnsi="Times New Roman" w:eastAsia="仿宋_GB2312" w:cs="Times New Roman"/>
          <w:bCs/>
          <w:sz w:val="32"/>
          <w:szCs w:val="32"/>
        </w:rPr>
        <w:t>《</w:t>
      </w:r>
      <w:r>
        <w:rPr>
          <w:rFonts w:hint="default" w:ascii="Times New Roman" w:hAnsi="Times New Roman" w:eastAsia="仿宋_GB2312" w:cs="Times New Roman"/>
          <w:bCs/>
          <w:sz w:val="32"/>
          <w:szCs w:val="32"/>
          <w:lang w:val="en-US" w:eastAsia="zh-CN"/>
        </w:rPr>
        <w:t>温州医科大学研究生申请学位学术成果认定办法</w:t>
      </w:r>
      <w:r>
        <w:rPr>
          <w:rFonts w:hint="default" w:ascii="Times New Roman" w:hAnsi="Times New Roman" w:eastAsia="仿宋_GB2312" w:cs="Times New Roman"/>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60" w:lineRule="exact"/>
        <w:ind w:left="0" w:firstLine="640" w:firstLineChars="200"/>
        <w:jc w:val="left"/>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val="en-US" w:eastAsia="zh-CN"/>
        </w:rPr>
        <w:t>五</w:t>
      </w:r>
      <w:r>
        <w:rPr>
          <w:rFonts w:hint="default" w:ascii="Times New Roman" w:hAnsi="Times New Roman" w:eastAsia="黑体" w:cs="Times New Roman"/>
          <w:b w:val="0"/>
          <w:bCs/>
          <w:sz w:val="32"/>
          <w:szCs w:val="32"/>
        </w:rPr>
        <w:t>、学位论文工作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_GB2312" w:cs="Times New Roman"/>
          <w:sz w:val="32"/>
          <w:szCs w:val="32"/>
        </w:rPr>
        <w:t>学位论文工作是硕士生在导师及导师小组的指导下，独立设计和完成某一科研课题，培养初步独立科研工作能力的过程。硕士生入学后便开始学位论文工作。为保证硕士生论文质量，需做好以下环节：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rPr>
      </w:pPr>
      <w:r>
        <w:rPr>
          <w:rFonts w:hint="default" w:ascii="Times New Roman" w:hAnsi="Times New Roman" w:eastAsia="楷体" w:cs="Times New Roman"/>
          <w:b w:val="0"/>
          <w:sz w:val="32"/>
          <w:szCs w:val="32"/>
        </w:rPr>
        <w:t>（一）定期检查课题进展情况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导师应经常检查课题进展情况，查阅原始记录，导师小组定期与硕士生一起分析、讨论研究结果。督促硕士生每学期向导师</w:t>
      </w:r>
      <w:r>
        <w:rPr>
          <w:rFonts w:hint="default" w:ascii="Times New Roman" w:hAnsi="Times New Roman" w:eastAsia="仿宋_GB2312" w:cs="Times New Roman"/>
          <w:sz w:val="32"/>
          <w:szCs w:val="32"/>
          <w:lang w:val="en-US" w:eastAsia="zh-CN"/>
        </w:rPr>
        <w:t>组</w:t>
      </w:r>
      <w:r>
        <w:rPr>
          <w:rFonts w:hint="default" w:ascii="Times New Roman" w:hAnsi="Times New Roman" w:eastAsia="仿宋_GB2312" w:cs="Times New Roman"/>
          <w:sz w:val="32"/>
          <w:szCs w:val="32"/>
        </w:rPr>
        <w:t>作阶段性汇报，及时发现问题并帮助解决。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rPr>
      </w:pPr>
      <w:r>
        <w:rPr>
          <w:rFonts w:hint="default" w:ascii="Times New Roman" w:hAnsi="Times New Roman" w:eastAsia="楷体" w:cs="Times New Roman"/>
          <w:b w:val="0"/>
          <w:sz w:val="32"/>
          <w:szCs w:val="32"/>
        </w:rPr>
        <w:t>（二）学位论文撰写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_GB2312" w:cs="Times New Roman"/>
          <w:sz w:val="32"/>
          <w:szCs w:val="32"/>
        </w:rPr>
        <w:t>硕士生课题研究工作完成后</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导师及导师小组的指导下独立完成学位论文撰写，格式参照《温州医科大学研究生学位论文编排及打印格式要求》。论文要求立论正确、分析严谨、计算无误、统计处理可靠、文句精练、图表清晰。硕士生在学位论文中应对自己所开展的工作进行详细地阐述，提出自己的观点</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体现综合运用科学理论和方法解决实际问题的能力。论文初稿交导师审改后硕士生对论文初稿进行修改和补充，最后由导师正式审定完稿。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rPr>
      </w:pPr>
      <w:r>
        <w:rPr>
          <w:rFonts w:hint="default" w:ascii="Times New Roman" w:hAnsi="Times New Roman" w:eastAsia="楷体" w:cs="Times New Roman"/>
          <w:b w:val="0"/>
          <w:sz w:val="32"/>
          <w:szCs w:val="32"/>
        </w:rPr>
        <w:t>（三）学位论文评阅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硕士生完成学位论文工作，并完成本专业培养方案规定的各项要求，经导师审核同意，可申请学位论文评阅。学位论文评阅由研究生院组织一年两次，提交学位论文的时间分别是</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月和</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月，逾期顺延。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rPr>
      </w:pPr>
      <w:r>
        <w:rPr>
          <w:rFonts w:hint="default" w:ascii="Times New Roman" w:hAnsi="Times New Roman" w:eastAsia="楷体" w:cs="Times New Roman"/>
          <w:b w:val="0"/>
          <w:sz w:val="32"/>
          <w:szCs w:val="32"/>
        </w:rPr>
        <w:t>（四）组织预答辩和答辩的组织工作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_GB2312" w:cs="Times New Roman"/>
          <w:sz w:val="32"/>
          <w:szCs w:val="32"/>
        </w:rPr>
        <w:t>学位论文通过评阅后，由导师安排预答辩。通过预答辩后，方可申请答辩，学位论文的答辩工作由导师所在院系组织。</w:t>
      </w:r>
      <w:r>
        <w:rPr>
          <w:rFonts w:hint="default" w:ascii="Times New Roman" w:hAnsi="Times New Roman" w:eastAsia="仿宋_GB2312" w:cs="Times New Roman"/>
          <w:kern w:val="0"/>
          <w:sz w:val="32"/>
          <w:szCs w:val="32"/>
        </w:rPr>
        <w:t>答辩工作的实施参照</w:t>
      </w:r>
      <w:r>
        <w:rPr>
          <w:rFonts w:hint="default" w:ascii="Times New Roman" w:hAnsi="Times New Roman" w:eastAsia="仿宋_GB2312" w:cs="Times New Roman"/>
          <w:kern w:val="0"/>
          <w:sz w:val="32"/>
          <w:szCs w:val="32"/>
          <w:lang w:val="en-US" w:eastAsia="zh-CN"/>
        </w:rPr>
        <w:t>学校相关</w:t>
      </w:r>
      <w:r>
        <w:rPr>
          <w:rFonts w:hint="default" w:ascii="Times New Roman" w:hAnsi="Times New Roman" w:eastAsia="仿宋_GB2312" w:cs="Times New Roman"/>
          <w:kern w:val="0"/>
          <w:sz w:val="32"/>
          <w:szCs w:val="32"/>
        </w:rPr>
        <w:t>管理办法</w:t>
      </w:r>
      <w:r>
        <w:rPr>
          <w:rFonts w:hint="default" w:ascii="Times New Roman" w:hAnsi="Times New Roman" w:eastAsia="仿宋"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60" w:lineRule="exact"/>
        <w:ind w:left="0" w:leftChars="0" w:firstLine="640" w:firstLineChars="200"/>
        <w:jc w:val="left"/>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val="en-US" w:eastAsia="zh-CN"/>
        </w:rPr>
        <w:t>六</w:t>
      </w:r>
      <w:r>
        <w:rPr>
          <w:rFonts w:hint="default" w:ascii="Times New Roman" w:hAnsi="Times New Roman" w:eastAsia="黑体" w:cs="Times New Roman"/>
          <w:b w:val="0"/>
          <w:bCs/>
          <w:sz w:val="32"/>
          <w:szCs w:val="32"/>
        </w:rPr>
        <w:t>、学位申请和学位授予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lang w:val="en-US" w:eastAsia="zh-CN"/>
        </w:rPr>
      </w:pPr>
      <w:r>
        <w:rPr>
          <w:rFonts w:hint="default" w:ascii="Times New Roman" w:hAnsi="Times New Roman" w:eastAsia="楷体" w:cs="Times New Roman"/>
          <w:b w:val="0"/>
          <w:sz w:val="32"/>
          <w:szCs w:val="32"/>
          <w:lang w:val="en-US" w:eastAsia="zh-CN"/>
        </w:rPr>
        <w:t>（一）学位申请</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_GB2312" w:cs="Times New Roman"/>
          <w:sz w:val="32"/>
          <w:szCs w:val="32"/>
        </w:rPr>
        <w:t>硕士生完成课程学习，成绩合格且所有课程加权平均成绩必须达75分以上（含75分），通过开题</w:t>
      </w:r>
      <w:r>
        <w:rPr>
          <w:rFonts w:hint="default" w:ascii="Times New Roman" w:hAnsi="Times New Roman" w:eastAsia="仿宋_GB2312" w:cs="Times New Roman"/>
          <w:sz w:val="32"/>
          <w:szCs w:val="32"/>
          <w:lang w:val="en-US" w:eastAsia="zh-CN"/>
        </w:rPr>
        <w:t>及</w:t>
      </w:r>
      <w:r>
        <w:rPr>
          <w:rFonts w:hint="default" w:ascii="Times New Roman" w:hAnsi="Times New Roman" w:eastAsia="仿宋_GB2312" w:cs="Times New Roman"/>
          <w:sz w:val="32"/>
          <w:szCs w:val="32"/>
        </w:rPr>
        <w:t>中期考核，</w:t>
      </w:r>
      <w:r>
        <w:rPr>
          <w:rFonts w:hint="default" w:ascii="Times New Roman" w:hAnsi="Times New Roman" w:eastAsia="仿宋_GB2312" w:cs="Times New Roman"/>
          <w:sz w:val="32"/>
          <w:szCs w:val="32"/>
          <w:lang w:val="en-US" w:eastAsia="zh-CN"/>
        </w:rPr>
        <w:t>完成规定的实践学习并通过考核，</w:t>
      </w:r>
      <w:r>
        <w:rPr>
          <w:rFonts w:hint="default" w:ascii="Times New Roman" w:hAnsi="Times New Roman" w:eastAsia="仿宋_GB2312" w:cs="Times New Roman"/>
          <w:sz w:val="32"/>
          <w:szCs w:val="32"/>
        </w:rPr>
        <w:t>通过学位论文评阅及答辩，达到</w:t>
      </w:r>
      <w:r>
        <w:rPr>
          <w:rFonts w:hint="default" w:ascii="Times New Roman" w:hAnsi="Times New Roman" w:eastAsia="仿宋_GB2312" w:cs="Times New Roman"/>
          <w:sz w:val="32"/>
          <w:szCs w:val="32"/>
          <w:lang w:val="en-US" w:eastAsia="zh-CN"/>
        </w:rPr>
        <w:t>专业</w:t>
      </w:r>
      <w:r>
        <w:rPr>
          <w:rFonts w:hint="default" w:ascii="Times New Roman" w:hAnsi="Times New Roman" w:eastAsia="仿宋_GB2312" w:cs="Times New Roman"/>
          <w:sz w:val="32"/>
          <w:szCs w:val="32"/>
        </w:rPr>
        <w:t>型硕士毕业要求并</w:t>
      </w:r>
      <w:r>
        <w:rPr>
          <w:rFonts w:hint="default" w:ascii="Times New Roman" w:hAnsi="Times New Roman" w:eastAsia="仿宋_GB2312" w:cs="Times New Roman"/>
          <w:sz w:val="32"/>
          <w:szCs w:val="32"/>
          <w:lang w:val="en-US" w:eastAsia="zh-CN"/>
        </w:rPr>
        <w:t>取得</w:t>
      </w:r>
      <w:r>
        <w:rPr>
          <w:rFonts w:hint="default" w:ascii="Times New Roman" w:hAnsi="Times New Roman" w:eastAsia="仿宋_GB2312" w:cs="Times New Roman"/>
          <w:sz w:val="32"/>
          <w:szCs w:val="32"/>
        </w:rPr>
        <w:t>符合要求的</w:t>
      </w:r>
      <w:r>
        <w:rPr>
          <w:rFonts w:hint="default" w:ascii="Times New Roman" w:hAnsi="Times New Roman" w:eastAsia="仿宋_GB2312" w:cs="Times New Roman"/>
          <w:sz w:val="32"/>
          <w:szCs w:val="32"/>
          <w:lang w:val="en-US" w:eastAsia="zh-CN"/>
        </w:rPr>
        <w:t>学术成果</w:t>
      </w:r>
      <w:r>
        <w:rPr>
          <w:rFonts w:hint="default" w:ascii="Times New Roman" w:hAnsi="Times New Roman" w:eastAsia="仿宋_GB2312" w:cs="Times New Roman"/>
          <w:sz w:val="32"/>
          <w:szCs w:val="32"/>
        </w:rPr>
        <w:t>，学位英语通过，可申请</w:t>
      </w:r>
      <w:r>
        <w:rPr>
          <w:rFonts w:hint="default" w:ascii="Times New Roman" w:hAnsi="Times New Roman" w:eastAsia="仿宋_GB2312" w:cs="Times New Roman"/>
          <w:sz w:val="32"/>
          <w:szCs w:val="32"/>
          <w:lang w:val="en-US" w:eastAsia="zh-CN"/>
        </w:rPr>
        <w:t>专业</w:t>
      </w:r>
      <w:r>
        <w:rPr>
          <w:rFonts w:hint="default" w:ascii="Times New Roman" w:hAnsi="Times New Roman" w:eastAsia="仿宋_GB2312" w:cs="Times New Roman"/>
          <w:sz w:val="32"/>
          <w:szCs w:val="32"/>
        </w:rPr>
        <w:t>型硕士学位。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sz w:val="32"/>
          <w:szCs w:val="32"/>
          <w:lang w:val="en-US" w:eastAsia="zh-CN"/>
        </w:rPr>
      </w:pPr>
      <w:r>
        <w:rPr>
          <w:rFonts w:hint="default" w:ascii="Times New Roman" w:hAnsi="Times New Roman" w:eastAsia="楷体" w:cs="Times New Roman"/>
          <w:b w:val="0"/>
          <w:sz w:val="32"/>
          <w:szCs w:val="32"/>
          <w:lang w:val="en-US" w:eastAsia="zh-CN"/>
        </w:rPr>
        <w:t>（二）学位授予</w:t>
      </w:r>
    </w:p>
    <w:p>
      <w:pPr>
        <w:keepNext w:val="0"/>
        <w:keepLines w:val="0"/>
        <w:pageBreakBefore w:val="0"/>
        <w:kinsoku/>
        <w:wordWrap/>
        <w:overflowPunct/>
        <w:topLinePunct w:val="0"/>
        <w:autoSpaceDE/>
        <w:autoSpaceDN/>
        <w:bidi w:val="0"/>
        <w:adjustRightInd w:val="0"/>
        <w:snapToGrid/>
        <w:spacing w:before="0" w:beforeLines="0" w:after="0" w:afterLines="0" w:line="560" w:lineRule="exact"/>
        <w:ind w:left="0" w:firstLine="640" w:firstLineChars="200"/>
        <w:jc w:val="left"/>
        <w:textAlignment w:val="auto"/>
        <w:outlineLvl w:val="9"/>
        <w:rPr>
          <w:rFonts w:hint="default" w:ascii="Times New Roman" w:hAnsi="Times New Roman" w:eastAsia="仿宋_GB2312" w:cs="Times New Roman"/>
          <w:b w:val="0"/>
          <w:bCs/>
          <w:kern w:val="0"/>
          <w:sz w:val="32"/>
          <w:szCs w:val="32"/>
        </w:rPr>
      </w:pPr>
      <w:r>
        <w:rPr>
          <w:rFonts w:hint="default" w:ascii="Times New Roman" w:hAnsi="Times New Roman" w:eastAsia="仿宋_GB2312" w:cs="Times New Roman"/>
          <w:sz w:val="32"/>
          <w:szCs w:val="32"/>
        </w:rPr>
        <w:t>学位授予</w:t>
      </w:r>
      <w:r>
        <w:rPr>
          <w:rFonts w:hint="default" w:ascii="Times New Roman" w:hAnsi="Times New Roman" w:eastAsia="仿宋_GB2312" w:cs="Times New Roman"/>
          <w:sz w:val="32"/>
          <w:szCs w:val="32"/>
          <w:lang w:val="en-US" w:eastAsia="zh-CN"/>
        </w:rPr>
        <w:t>按照国家及学校学位</w:t>
      </w:r>
      <w:r>
        <w:rPr>
          <w:rFonts w:hint="default" w:ascii="Times New Roman" w:hAnsi="Times New Roman" w:eastAsia="仿宋_GB2312" w:cs="Times New Roman"/>
          <w:sz w:val="32"/>
          <w:szCs w:val="32"/>
        </w:rPr>
        <w:t>授予</w:t>
      </w:r>
      <w:r>
        <w:rPr>
          <w:rFonts w:hint="default" w:ascii="Times New Roman" w:hAnsi="Times New Roman" w:eastAsia="仿宋_GB2312" w:cs="Times New Roman"/>
          <w:sz w:val="32"/>
          <w:szCs w:val="32"/>
          <w:lang w:val="en-US" w:eastAsia="zh-CN"/>
        </w:rPr>
        <w:t>条例进行。</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firstLine="640" w:firstLineChars="200"/>
        <w:jc w:val="left"/>
        <w:textAlignment w:val="auto"/>
        <w:rPr>
          <w:rFonts w:hint="default" w:ascii="Times New Roman" w:hAnsi="Times New Roman" w:eastAsia="仿宋" w:cs="Times New Roman"/>
          <w:b/>
          <w:bCs w:val="0"/>
          <w:sz w:val="32"/>
          <w:szCs w:val="32"/>
          <w:lang w:val="en-US" w:eastAsia="zh-CN"/>
        </w:rPr>
      </w:pPr>
      <w:r>
        <w:rPr>
          <w:rFonts w:hint="default" w:ascii="Times New Roman" w:hAnsi="Times New Roman" w:eastAsia="黑体" w:cs="Times New Roman"/>
          <w:b w:val="0"/>
          <w:bCs/>
          <w:sz w:val="32"/>
          <w:szCs w:val="32"/>
          <w:lang w:val="en-US" w:eastAsia="zh-CN"/>
        </w:rPr>
        <w:t>七、本</w:t>
      </w:r>
      <w:bookmarkStart w:id="8" w:name="_GoBack"/>
      <w:r>
        <w:rPr>
          <w:rFonts w:hint="default" w:ascii="Times New Roman" w:hAnsi="Times New Roman" w:eastAsia="黑体" w:cs="Times New Roman"/>
          <w:b w:val="0"/>
          <w:bCs/>
          <w:sz w:val="32"/>
          <w:szCs w:val="32"/>
          <w:lang w:val="en-US" w:eastAsia="zh-CN"/>
        </w:rPr>
        <w:t>培养方</w:t>
      </w:r>
      <w:bookmarkEnd w:id="8"/>
      <w:r>
        <w:rPr>
          <w:rFonts w:hint="default" w:ascii="Times New Roman" w:hAnsi="Times New Roman" w:eastAsia="黑体" w:cs="Times New Roman"/>
          <w:b w:val="0"/>
          <w:bCs/>
          <w:sz w:val="32"/>
          <w:szCs w:val="32"/>
          <w:lang w:val="en-US" w:eastAsia="zh-CN"/>
        </w:rPr>
        <w:t>案自2022级药学专业型学位硕士研究生开始实行，由研究生院负责解释。</w:t>
      </w:r>
    </w:p>
    <w:p>
      <w:pPr>
        <w:adjustRightInd w:val="0"/>
        <w:spacing w:before="0" w:beforeLines="0" w:after="0" w:afterLines="0" w:line="560" w:lineRule="exact"/>
        <w:ind w:firstLine="0" w:firstLineChars="0"/>
        <w:jc w:val="left"/>
        <w:outlineLvl w:val="9"/>
        <w:rPr>
          <w:rFonts w:hint="eastAsia" w:ascii="黑体" w:hAnsi="Times New Roman" w:eastAsia="黑体" w:cs="Times New Roman"/>
          <w:b w:val="0"/>
          <w:bCs/>
          <w:kern w:val="0"/>
          <w:sz w:val="30"/>
          <w:szCs w:val="30"/>
        </w:rPr>
      </w:pPr>
    </w:p>
    <w:p>
      <w:pPr>
        <w:adjustRightInd w:val="0"/>
        <w:spacing w:before="0" w:beforeLines="0" w:after="0" w:afterLines="0" w:line="560" w:lineRule="exact"/>
        <w:ind w:firstLine="0" w:firstLineChars="0"/>
        <w:jc w:val="left"/>
        <w:outlineLvl w:val="9"/>
        <w:rPr>
          <w:rFonts w:hint="eastAsia" w:ascii="黑体" w:hAnsi="Times New Roman" w:eastAsia="黑体" w:cs="Times New Roman"/>
          <w:b w:val="0"/>
          <w:bCs/>
          <w:kern w:val="0"/>
          <w:sz w:val="30"/>
          <w:szCs w:val="30"/>
        </w:rPr>
      </w:pPr>
    </w:p>
    <w:p>
      <w:pPr>
        <w:adjustRightInd w:val="0"/>
        <w:spacing w:before="0" w:beforeLines="0" w:after="0" w:afterLines="0" w:line="560" w:lineRule="exact"/>
        <w:ind w:firstLine="0" w:firstLineChars="0"/>
        <w:jc w:val="left"/>
        <w:outlineLvl w:val="9"/>
        <w:rPr>
          <w:rFonts w:hint="eastAsia" w:ascii="黑体" w:hAnsi="Times New Roman" w:eastAsia="黑体" w:cs="Times New Roman"/>
          <w:b w:val="0"/>
          <w:bCs/>
          <w:kern w:val="0"/>
          <w:sz w:val="30"/>
          <w:szCs w:val="30"/>
        </w:rPr>
      </w:pPr>
    </w:p>
    <w:p>
      <w:pPr>
        <w:adjustRightInd w:val="0"/>
        <w:spacing w:before="0" w:beforeLines="0" w:after="0" w:afterLines="0" w:line="560" w:lineRule="exact"/>
        <w:ind w:firstLine="0" w:firstLineChars="0"/>
        <w:jc w:val="left"/>
        <w:outlineLvl w:val="9"/>
        <w:rPr>
          <w:rFonts w:hint="eastAsia" w:ascii="黑体" w:hAnsi="Times New Roman" w:eastAsia="黑体" w:cs="Times New Roman"/>
          <w:b w:val="0"/>
          <w:bCs/>
          <w:kern w:val="0"/>
          <w:sz w:val="30"/>
          <w:szCs w:val="30"/>
        </w:rPr>
      </w:pPr>
    </w:p>
    <w:p>
      <w:pPr>
        <w:adjustRightInd w:val="0"/>
        <w:spacing w:before="0" w:beforeLines="0" w:after="0" w:afterLines="0" w:line="560" w:lineRule="exact"/>
        <w:ind w:firstLine="0" w:firstLineChars="0"/>
        <w:jc w:val="left"/>
        <w:outlineLvl w:val="9"/>
        <w:rPr>
          <w:rFonts w:hint="eastAsia" w:ascii="黑体" w:hAnsi="Times New Roman" w:eastAsia="黑体" w:cs="Times New Roman"/>
          <w:b w:val="0"/>
          <w:bCs/>
          <w:kern w:val="0"/>
          <w:sz w:val="30"/>
          <w:szCs w:val="30"/>
        </w:rPr>
      </w:pPr>
    </w:p>
    <w:p>
      <w:pPr>
        <w:adjustRightInd w:val="0"/>
        <w:spacing w:before="0" w:beforeLines="0" w:after="0" w:afterLines="0" w:line="560" w:lineRule="exact"/>
        <w:ind w:firstLine="0" w:firstLineChars="0"/>
        <w:jc w:val="left"/>
        <w:outlineLvl w:val="9"/>
        <w:rPr>
          <w:rFonts w:hint="eastAsia" w:ascii="黑体" w:hAnsi="Times New Roman" w:eastAsia="黑体" w:cs="Times New Roman"/>
          <w:b w:val="0"/>
          <w:bCs/>
          <w:kern w:val="0"/>
          <w:sz w:val="30"/>
          <w:szCs w:val="30"/>
        </w:rPr>
      </w:pPr>
    </w:p>
    <w:p>
      <w:pPr>
        <w:adjustRightInd w:val="0"/>
        <w:spacing w:before="0" w:beforeLines="0" w:after="0" w:afterLines="0" w:line="560" w:lineRule="exact"/>
        <w:ind w:firstLine="0" w:firstLineChars="0"/>
        <w:jc w:val="left"/>
        <w:outlineLvl w:val="9"/>
        <w:rPr>
          <w:rFonts w:hint="eastAsia" w:ascii="黑体" w:hAnsi="Times New Roman" w:eastAsia="黑体" w:cs="Times New Roman"/>
          <w:b w:val="0"/>
          <w:bCs/>
          <w:kern w:val="0"/>
          <w:sz w:val="30"/>
          <w:szCs w:val="30"/>
        </w:rPr>
      </w:pPr>
    </w:p>
    <w:p>
      <w:pPr>
        <w:adjustRightInd w:val="0"/>
        <w:spacing w:before="0" w:beforeLines="0" w:after="0" w:afterLines="0" w:line="560" w:lineRule="exact"/>
        <w:ind w:firstLine="0" w:firstLineChars="0"/>
        <w:jc w:val="left"/>
        <w:outlineLvl w:val="9"/>
        <w:rPr>
          <w:rFonts w:hint="eastAsia" w:ascii="黑体" w:hAnsi="Times New Roman" w:eastAsia="黑体" w:cs="Times New Roman"/>
          <w:b w:val="0"/>
          <w:bCs/>
          <w:kern w:val="0"/>
          <w:sz w:val="30"/>
          <w:szCs w:val="30"/>
        </w:rPr>
      </w:pPr>
    </w:p>
    <w:p>
      <w:pPr>
        <w:adjustRightInd w:val="0"/>
        <w:spacing w:before="0" w:beforeLines="0" w:after="0" w:afterLines="0" w:line="560" w:lineRule="exact"/>
        <w:ind w:firstLine="0" w:firstLineChars="0"/>
        <w:jc w:val="left"/>
        <w:outlineLvl w:val="9"/>
        <w:rPr>
          <w:rFonts w:hint="eastAsia" w:ascii="黑体" w:hAnsi="Times New Roman" w:eastAsia="黑体" w:cs="Times New Roman"/>
          <w:b w:val="0"/>
          <w:bCs/>
          <w:kern w:val="0"/>
          <w:sz w:val="30"/>
          <w:szCs w:val="30"/>
        </w:rPr>
      </w:pPr>
    </w:p>
    <w:p>
      <w:pPr>
        <w:adjustRightInd w:val="0"/>
        <w:spacing w:before="0" w:beforeLines="0" w:after="0" w:afterLines="0" w:line="560" w:lineRule="exact"/>
        <w:ind w:firstLine="0" w:firstLineChars="0"/>
        <w:jc w:val="left"/>
        <w:outlineLvl w:val="9"/>
        <w:rPr>
          <w:rFonts w:hint="eastAsia" w:ascii="黑体" w:hAnsi="Times New Roman" w:eastAsia="黑体" w:cs="Times New Roman"/>
          <w:b w:val="0"/>
          <w:bCs/>
          <w:kern w:val="0"/>
          <w:sz w:val="30"/>
          <w:szCs w:val="30"/>
        </w:rPr>
      </w:pPr>
    </w:p>
    <w:p>
      <w:pPr>
        <w:adjustRightInd w:val="0"/>
        <w:spacing w:before="0" w:beforeLines="0" w:after="0" w:afterLines="0" w:line="560" w:lineRule="exact"/>
        <w:ind w:firstLine="0" w:firstLineChars="0"/>
        <w:jc w:val="left"/>
        <w:outlineLvl w:val="9"/>
        <w:rPr>
          <w:rFonts w:hint="eastAsia" w:ascii="黑体" w:hAnsi="Times New Roman" w:eastAsia="黑体" w:cs="Times New Roman"/>
          <w:b w:val="0"/>
          <w:bCs/>
          <w:kern w:val="0"/>
          <w:sz w:val="30"/>
          <w:szCs w:val="30"/>
        </w:rPr>
      </w:pPr>
    </w:p>
    <w:p>
      <w:pPr>
        <w:adjustRightInd w:val="0"/>
        <w:spacing w:before="0" w:beforeLines="0" w:after="0" w:afterLines="0" w:line="560" w:lineRule="exact"/>
        <w:ind w:firstLine="0" w:firstLineChars="0"/>
        <w:jc w:val="left"/>
        <w:outlineLvl w:val="9"/>
        <w:rPr>
          <w:rFonts w:hint="eastAsia" w:ascii="楷体_GB2312" w:hAnsi="楷体_GB2312" w:eastAsia="楷体_GB2312" w:cs="楷体_GB2312"/>
          <w:b/>
          <w:bCs w:val="0"/>
          <w:kern w:val="0"/>
          <w:sz w:val="32"/>
          <w:szCs w:val="32"/>
          <w:u w:val="single"/>
        </w:rPr>
      </w:pPr>
      <w:r>
        <w:rPr>
          <w:rFonts w:hint="eastAsia" w:ascii="黑体" w:hAnsi="Times New Roman" w:eastAsia="黑体" w:cs="Times New Roman"/>
          <w:b w:val="0"/>
          <w:bCs/>
          <w:kern w:val="0"/>
          <w:sz w:val="30"/>
          <w:szCs w:val="30"/>
        </w:rPr>
        <w:t>附</w:t>
      </w:r>
      <w:r>
        <w:rPr>
          <w:rFonts w:hint="eastAsia" w:ascii="黑体" w:hAnsi="Times New Roman" w:eastAsia="黑体" w:cs="Times New Roman"/>
          <w:b w:val="0"/>
          <w:bCs/>
          <w:kern w:val="0"/>
          <w:sz w:val="30"/>
          <w:szCs w:val="30"/>
          <w:lang w:eastAsia="zh-CN"/>
        </w:rPr>
        <w:t>录</w:t>
      </w:r>
      <w:r>
        <w:rPr>
          <w:rFonts w:hint="eastAsia" w:ascii="黑体" w:hAnsi="Times New Roman" w:eastAsia="黑体" w:cs="Times New Roman"/>
          <w:b w:val="0"/>
          <w:bCs/>
          <w:kern w:val="0"/>
          <w:sz w:val="30"/>
          <w:szCs w:val="30"/>
        </w:rPr>
        <w:t>：</w:t>
      </w:r>
    </w:p>
    <w:p>
      <w:pPr>
        <w:adjustRightInd w:val="0"/>
        <w:spacing w:before="0" w:beforeLines="0" w:after="0" w:afterLines="0" w:line="560" w:lineRule="exact"/>
        <w:ind w:firstLine="0" w:firstLineChars="0"/>
        <w:jc w:val="center"/>
        <w:outlineLvl w:val="9"/>
        <w:rPr>
          <w:rFonts w:hint="eastAsia"/>
        </w:rPr>
      </w:pPr>
      <w:r>
        <w:rPr>
          <w:rFonts w:hint="eastAsia" w:ascii="楷体_GB2312" w:hAnsi="楷体_GB2312" w:eastAsia="楷体_GB2312" w:cs="楷体_GB2312"/>
          <w:b/>
          <w:bCs w:val="0"/>
          <w:kern w:val="0"/>
          <w:sz w:val="32"/>
          <w:szCs w:val="32"/>
          <w:u w:val="single"/>
        </w:rPr>
        <w:t>药学</w:t>
      </w:r>
      <w:r>
        <w:rPr>
          <w:rFonts w:hint="eastAsia" w:ascii="楷体_GB2312" w:hAnsi="楷体_GB2312" w:eastAsia="楷体_GB2312" w:cs="楷体_GB2312"/>
          <w:b/>
          <w:bCs w:val="0"/>
          <w:kern w:val="0"/>
          <w:sz w:val="32"/>
          <w:szCs w:val="32"/>
          <w:lang w:val="en-US" w:eastAsia="zh-CN"/>
        </w:rPr>
        <w:t>专业</w:t>
      </w:r>
      <w:r>
        <w:rPr>
          <w:rFonts w:hint="eastAsia" w:ascii="楷体_GB2312" w:hAnsi="楷体_GB2312" w:eastAsia="楷体_GB2312" w:cs="楷体_GB2312"/>
          <w:b/>
          <w:bCs w:val="0"/>
          <w:kern w:val="0"/>
          <w:sz w:val="32"/>
          <w:szCs w:val="32"/>
        </w:rPr>
        <w:t>学位硕士研究生课程设置方案</w:t>
      </w:r>
    </w:p>
    <w:tbl>
      <w:tblPr>
        <w:tblStyle w:val="8"/>
        <w:tblW w:w="88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980"/>
        <w:gridCol w:w="3540"/>
        <w:gridCol w:w="615"/>
        <w:gridCol w:w="915"/>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64" w:type="dxa"/>
            <w:vAlign w:val="center"/>
          </w:tcPr>
          <w:p>
            <w:pPr>
              <w:widowControl/>
              <w:jc w:val="center"/>
              <w:rPr>
                <w:rFonts w:hint="default" w:ascii="Times New Roman" w:hAnsi="Times New Roman" w:eastAsia="宋体" w:cs="Times New Roman"/>
                <w:b/>
                <w:bCs/>
                <w:color w:val="000000"/>
                <w:kern w:val="0"/>
                <w:sz w:val="21"/>
                <w:szCs w:val="21"/>
                <w:lang w:val="en-US" w:eastAsia="zh-CN" w:bidi="ar-SA"/>
              </w:rPr>
            </w:pPr>
            <w:r>
              <w:rPr>
                <w:rFonts w:hint="default" w:ascii="Times New Roman" w:hAnsi="Times New Roman" w:eastAsia="宋体" w:cs="Times New Roman"/>
                <w:b/>
                <w:bCs/>
                <w:color w:val="000000"/>
                <w:kern w:val="0"/>
                <w:sz w:val="21"/>
                <w:szCs w:val="21"/>
              </w:rPr>
              <w:t>类别</w:t>
            </w:r>
          </w:p>
        </w:tc>
        <w:tc>
          <w:tcPr>
            <w:tcW w:w="1980" w:type="dxa"/>
            <w:vAlign w:val="center"/>
          </w:tcPr>
          <w:p>
            <w:pPr>
              <w:widowControl/>
              <w:jc w:val="center"/>
              <w:rPr>
                <w:rFonts w:hint="default" w:ascii="Times New Roman" w:hAnsi="Times New Roman" w:eastAsia="宋体" w:cs="Times New Roman"/>
                <w:b/>
                <w:bCs/>
                <w:color w:val="000000"/>
                <w:kern w:val="0"/>
                <w:sz w:val="21"/>
                <w:szCs w:val="21"/>
                <w:lang w:val="en-US" w:eastAsia="zh-CN" w:bidi="ar-SA"/>
              </w:rPr>
            </w:pPr>
            <w:r>
              <w:rPr>
                <w:rFonts w:hint="default" w:ascii="Times New Roman" w:hAnsi="Times New Roman" w:eastAsia="宋体" w:cs="Times New Roman"/>
                <w:b/>
                <w:bCs/>
                <w:color w:val="000000"/>
                <w:kern w:val="0"/>
                <w:sz w:val="21"/>
                <w:szCs w:val="21"/>
                <w:lang w:val="en-US" w:eastAsia="zh-CN"/>
              </w:rPr>
              <w:t>课程性质</w:t>
            </w:r>
          </w:p>
        </w:tc>
        <w:tc>
          <w:tcPr>
            <w:tcW w:w="3540" w:type="dxa"/>
            <w:vAlign w:val="center"/>
          </w:tcPr>
          <w:p>
            <w:pPr>
              <w:widowControl/>
              <w:jc w:val="center"/>
              <w:rPr>
                <w:rFonts w:hint="default" w:ascii="Times New Roman" w:hAnsi="Times New Roman" w:eastAsia="宋体" w:cs="Times New Roman"/>
                <w:b/>
                <w:bCs/>
                <w:color w:val="000000"/>
                <w:kern w:val="0"/>
                <w:sz w:val="21"/>
                <w:szCs w:val="21"/>
                <w:lang w:val="en-US" w:eastAsia="zh-CN" w:bidi="ar-SA"/>
              </w:rPr>
            </w:pPr>
            <w:r>
              <w:rPr>
                <w:rFonts w:hint="default" w:ascii="Times New Roman" w:hAnsi="Times New Roman" w:eastAsia="宋体" w:cs="Times New Roman"/>
                <w:b/>
                <w:bCs/>
                <w:color w:val="000000"/>
                <w:kern w:val="0"/>
                <w:sz w:val="21"/>
                <w:szCs w:val="21"/>
              </w:rPr>
              <w:t>课程名称</w:t>
            </w:r>
          </w:p>
        </w:tc>
        <w:tc>
          <w:tcPr>
            <w:tcW w:w="615" w:type="dxa"/>
            <w:vAlign w:val="center"/>
          </w:tcPr>
          <w:p>
            <w:pPr>
              <w:widowControl/>
              <w:jc w:val="center"/>
              <w:rPr>
                <w:rFonts w:hint="default" w:ascii="Times New Roman" w:hAnsi="Times New Roman" w:eastAsia="宋体" w:cs="Times New Roman"/>
                <w:b/>
                <w:bCs/>
                <w:color w:val="000000"/>
                <w:kern w:val="0"/>
                <w:sz w:val="21"/>
                <w:szCs w:val="21"/>
                <w:lang w:val="en-US" w:eastAsia="zh-CN" w:bidi="ar-SA"/>
              </w:rPr>
            </w:pPr>
            <w:r>
              <w:rPr>
                <w:rFonts w:hint="default" w:ascii="Times New Roman" w:hAnsi="Times New Roman" w:eastAsia="宋体" w:cs="Times New Roman"/>
                <w:b/>
                <w:bCs/>
                <w:color w:val="000000"/>
                <w:kern w:val="0"/>
                <w:sz w:val="21"/>
                <w:szCs w:val="21"/>
              </w:rPr>
              <w:t>学分</w:t>
            </w:r>
          </w:p>
        </w:tc>
        <w:tc>
          <w:tcPr>
            <w:tcW w:w="915" w:type="dxa"/>
            <w:vAlign w:val="center"/>
          </w:tcPr>
          <w:p>
            <w:pPr>
              <w:widowControl/>
              <w:jc w:val="center"/>
              <w:rPr>
                <w:rFonts w:hint="default" w:ascii="Times New Roman" w:hAnsi="Times New Roman" w:eastAsia="宋体" w:cs="Times New Roman"/>
                <w:b/>
                <w:bCs/>
                <w:color w:val="000000"/>
                <w:kern w:val="0"/>
                <w:sz w:val="21"/>
                <w:szCs w:val="21"/>
                <w:lang w:val="en-US" w:eastAsia="zh-CN" w:bidi="ar-SA"/>
              </w:rPr>
            </w:pPr>
            <w:r>
              <w:rPr>
                <w:rFonts w:hint="default" w:ascii="Times New Roman" w:hAnsi="Times New Roman" w:eastAsia="宋体" w:cs="Times New Roman"/>
                <w:b/>
                <w:bCs/>
                <w:color w:val="000000"/>
                <w:kern w:val="0"/>
                <w:sz w:val="21"/>
                <w:szCs w:val="21"/>
              </w:rPr>
              <w:t>学时数</w:t>
            </w:r>
          </w:p>
        </w:tc>
        <w:tc>
          <w:tcPr>
            <w:tcW w:w="892" w:type="dxa"/>
            <w:vAlign w:val="center"/>
          </w:tcPr>
          <w:p>
            <w:pPr>
              <w:widowControl/>
              <w:jc w:val="center"/>
              <w:rPr>
                <w:rFonts w:hint="eastAsia" w:ascii="宋体" w:hAnsi="宋体" w:eastAsia="宋体" w:cs="宋体"/>
                <w:b/>
                <w:bCs/>
                <w:color w:val="000000"/>
                <w:kern w:val="0"/>
                <w:sz w:val="22"/>
                <w:szCs w:val="22"/>
                <w:lang w:val="en-US" w:eastAsia="zh-CN" w:bidi="ar-SA"/>
              </w:rPr>
            </w:pPr>
            <w:r>
              <w:rPr>
                <w:rFonts w:hint="eastAsia" w:ascii="宋体" w:hAnsi="宋体" w:eastAsia="宋体" w:cs="宋体"/>
                <w:b/>
                <w:bCs/>
                <w:color w:val="000000"/>
                <w:kern w:val="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64" w:type="dxa"/>
            <w:vMerge w:val="restart"/>
            <w:vAlign w:val="center"/>
          </w:tcPr>
          <w:p>
            <w:pPr>
              <w:pStyle w:val="10"/>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b/>
                <w:sz w:val="21"/>
                <w:szCs w:val="21"/>
              </w:rPr>
            </w:pPr>
            <w:r>
              <w:rPr>
                <w:rFonts w:hint="default" w:ascii="Times New Roman" w:hAnsi="Times New Roman" w:eastAsia="宋体" w:cs="Times New Roman"/>
                <w:color w:val="000000"/>
                <w:kern w:val="0"/>
                <w:sz w:val="21"/>
                <w:szCs w:val="21"/>
              </w:rPr>
              <w:t>公共</w:t>
            </w:r>
            <w:r>
              <w:rPr>
                <w:rFonts w:hint="default" w:ascii="Times New Roman" w:hAnsi="Times New Roman" w:eastAsia="宋体" w:cs="Times New Roman"/>
                <w:color w:val="000000"/>
                <w:kern w:val="0"/>
                <w:sz w:val="21"/>
                <w:szCs w:val="21"/>
                <w:lang w:val="en-US" w:eastAsia="zh-CN"/>
              </w:rPr>
              <w:t>必修课</w:t>
            </w:r>
            <w:r>
              <w:rPr>
                <w:rFonts w:hint="default" w:ascii="Times New Roman" w:hAnsi="Times New Roman" w:eastAsia="宋体" w:cs="Times New Roman"/>
                <w:color w:val="auto"/>
                <w:kern w:val="0"/>
                <w:sz w:val="21"/>
                <w:szCs w:val="21"/>
                <w:lang w:val="en-US" w:eastAsia="zh-CN"/>
              </w:rPr>
              <w:t>（6学分）</w:t>
            </w:r>
          </w:p>
          <w:p>
            <w:pPr>
              <w:pStyle w:val="10"/>
              <w:keepNext w:val="0"/>
              <w:keepLines w:val="0"/>
              <w:pageBreakBefore w:val="0"/>
              <w:widowControl w:val="0"/>
              <w:kinsoku/>
              <w:wordWrap/>
              <w:overflowPunct/>
              <w:topLinePunct w:val="0"/>
              <w:bidi w:val="0"/>
              <w:adjustRightInd/>
              <w:snapToGrid/>
              <w:spacing w:line="240" w:lineRule="auto"/>
              <w:ind w:left="604" w:firstLine="0"/>
              <w:jc w:val="center"/>
              <w:textAlignment w:val="auto"/>
              <w:rPr>
                <w:rFonts w:hint="default" w:ascii="Times New Roman" w:hAnsi="Times New Roman" w:eastAsia="宋体" w:cs="Times New Roman"/>
                <w:sz w:val="21"/>
                <w:szCs w:val="21"/>
              </w:rPr>
            </w:pPr>
          </w:p>
        </w:tc>
        <w:tc>
          <w:tcPr>
            <w:tcW w:w="1980" w:type="dxa"/>
            <w:vMerge w:val="restart"/>
            <w:vAlign w:val="center"/>
          </w:tcPr>
          <w:p>
            <w:pPr>
              <w:pStyle w:val="10"/>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kern w:val="0"/>
                <w:sz w:val="21"/>
                <w:szCs w:val="21"/>
              </w:rPr>
              <w:t>公共</w:t>
            </w:r>
            <w:r>
              <w:rPr>
                <w:rFonts w:hint="default" w:ascii="Times New Roman" w:hAnsi="Times New Roman" w:eastAsia="宋体" w:cs="Times New Roman"/>
                <w:b w:val="0"/>
                <w:bCs w:val="0"/>
                <w:color w:val="auto"/>
                <w:kern w:val="0"/>
                <w:sz w:val="21"/>
                <w:szCs w:val="21"/>
                <w:lang w:val="en-US" w:eastAsia="zh-CN"/>
              </w:rPr>
              <w:t>必修课程</w:t>
            </w:r>
          </w:p>
          <w:p>
            <w:pPr>
              <w:widowControl/>
              <w:jc w:val="center"/>
              <w:rPr>
                <w:rFonts w:hint="default" w:ascii="Times New Roman" w:hAnsi="Times New Roman" w:eastAsia="宋体" w:cs="Times New Roman"/>
                <w:sz w:val="21"/>
                <w:szCs w:val="21"/>
              </w:rPr>
            </w:pPr>
          </w:p>
        </w:tc>
        <w:tc>
          <w:tcPr>
            <w:tcW w:w="3540" w:type="dxa"/>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szCs w:val="21"/>
              </w:rPr>
              <w:t>中国特色社会主义理论与实践研究</w:t>
            </w:r>
          </w:p>
        </w:tc>
        <w:tc>
          <w:tcPr>
            <w:tcW w:w="615" w:type="dxa"/>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szCs w:val="21"/>
              </w:rPr>
              <w:t>2</w:t>
            </w:r>
          </w:p>
        </w:tc>
        <w:tc>
          <w:tcPr>
            <w:tcW w:w="915" w:type="dxa"/>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szCs w:val="21"/>
              </w:rPr>
              <w:t>36</w:t>
            </w:r>
          </w:p>
        </w:tc>
        <w:tc>
          <w:tcPr>
            <w:tcW w:w="892" w:type="dxa"/>
            <w:vAlign w:val="center"/>
          </w:tcPr>
          <w:p>
            <w:pPr>
              <w:widowControl/>
              <w:jc w:val="center"/>
              <w:rPr>
                <w:rFonts w:hint="eastAsia" w:ascii="宋体" w:hAnsi="宋体" w:eastAsia="宋体" w:cs="宋体"/>
                <w:sz w:val="21"/>
                <w:szCs w:val="21"/>
              </w:rPr>
            </w:pPr>
            <w:r>
              <w:rPr>
                <w:rFonts w:hint="eastAsia" w:ascii="宋体" w:hAnsi="宋体" w:eastAsia="宋体" w:cs="宋体"/>
                <w:color w:val="000000"/>
                <w:kern w:val="0"/>
                <w:sz w:val="21"/>
                <w:szCs w:val="21"/>
              </w:rPr>
              <w:t xml:space="preserve">必修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sz w:val="21"/>
                <w:szCs w:val="21"/>
              </w:rPr>
            </w:pPr>
          </w:p>
        </w:tc>
        <w:tc>
          <w:tcPr>
            <w:tcW w:w="3540" w:type="dxa"/>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szCs w:val="21"/>
              </w:rPr>
              <w:t>自然辩证法概论</w:t>
            </w:r>
          </w:p>
        </w:tc>
        <w:tc>
          <w:tcPr>
            <w:tcW w:w="615" w:type="dxa"/>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szCs w:val="21"/>
              </w:rPr>
              <w:t>1</w:t>
            </w:r>
          </w:p>
        </w:tc>
        <w:tc>
          <w:tcPr>
            <w:tcW w:w="915" w:type="dxa"/>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szCs w:val="21"/>
              </w:rPr>
              <w:t>18</w:t>
            </w:r>
          </w:p>
        </w:tc>
        <w:tc>
          <w:tcPr>
            <w:tcW w:w="892" w:type="dxa"/>
            <w:vAlign w:val="center"/>
          </w:tcPr>
          <w:p>
            <w:pPr>
              <w:widowControl/>
              <w:jc w:val="center"/>
              <w:rPr>
                <w:rFonts w:hint="eastAsia" w:ascii="宋体" w:hAnsi="宋体" w:eastAsia="宋体" w:cs="宋体"/>
                <w:sz w:val="21"/>
                <w:szCs w:val="21"/>
              </w:rPr>
            </w:pPr>
            <w:r>
              <w:rPr>
                <w:rFonts w:hint="eastAsia" w:ascii="宋体" w:hAnsi="宋体" w:eastAsia="宋体" w:cs="宋体"/>
                <w:color w:val="000000"/>
                <w:kern w:val="0"/>
                <w:sz w:val="21"/>
                <w:szCs w:val="21"/>
              </w:rPr>
              <w:t xml:space="preserve">必修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sz w:val="21"/>
                <w:szCs w:val="21"/>
              </w:rPr>
            </w:pPr>
          </w:p>
        </w:tc>
        <w:tc>
          <w:tcPr>
            <w:tcW w:w="3540" w:type="dxa"/>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szCs w:val="21"/>
              </w:rPr>
              <w:t>硕士生英语</w:t>
            </w:r>
          </w:p>
        </w:tc>
        <w:tc>
          <w:tcPr>
            <w:tcW w:w="615" w:type="dxa"/>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szCs w:val="21"/>
              </w:rPr>
              <w:t>3</w:t>
            </w:r>
          </w:p>
        </w:tc>
        <w:tc>
          <w:tcPr>
            <w:tcW w:w="915" w:type="dxa"/>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szCs w:val="21"/>
              </w:rPr>
              <w:t>48</w:t>
            </w:r>
          </w:p>
        </w:tc>
        <w:tc>
          <w:tcPr>
            <w:tcW w:w="892" w:type="dxa"/>
            <w:vAlign w:val="center"/>
          </w:tcPr>
          <w:p>
            <w:pPr>
              <w:widowControl/>
              <w:jc w:val="center"/>
              <w:rPr>
                <w:rFonts w:hint="eastAsia" w:ascii="宋体" w:hAnsi="宋体" w:eastAsia="宋体" w:cs="宋体"/>
                <w:sz w:val="21"/>
                <w:szCs w:val="21"/>
              </w:rPr>
            </w:pPr>
            <w:r>
              <w:rPr>
                <w:rFonts w:hint="eastAsia" w:ascii="宋体" w:hAnsi="宋体" w:eastAsia="宋体" w:cs="宋体"/>
                <w:color w:val="000000"/>
                <w:kern w:val="0"/>
                <w:sz w:val="21"/>
                <w:szCs w:val="21"/>
              </w:rPr>
              <w:t xml:space="preserve">必修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64" w:type="dxa"/>
            <w:vMerge w:val="restart"/>
            <w:vAlign w:val="center"/>
          </w:tcPr>
          <w:p>
            <w:pPr>
              <w:pStyle w:val="10"/>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lang w:val="en-US" w:eastAsia="zh-CN"/>
              </w:rPr>
              <w:t>专业必修课（8学分）</w:t>
            </w:r>
          </w:p>
        </w:tc>
        <w:tc>
          <w:tcPr>
            <w:tcW w:w="1980" w:type="dxa"/>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专业基础课程</w:t>
            </w:r>
          </w:p>
        </w:tc>
        <w:tc>
          <w:tcPr>
            <w:tcW w:w="3540"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医学实验动物学</w:t>
            </w:r>
          </w:p>
        </w:tc>
        <w:tc>
          <w:tcPr>
            <w:tcW w:w="615" w:type="dxa"/>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2</w:t>
            </w:r>
          </w:p>
        </w:tc>
        <w:tc>
          <w:tcPr>
            <w:tcW w:w="915" w:type="dxa"/>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32</w:t>
            </w:r>
          </w:p>
        </w:tc>
        <w:tc>
          <w:tcPr>
            <w:tcW w:w="892"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auto"/>
                <w:kern w:val="0"/>
                <w:sz w:val="21"/>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1980" w:type="dxa"/>
            <w:vMerge w:val="restart"/>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auto"/>
                <w:kern w:val="0"/>
                <w:sz w:val="21"/>
                <w:szCs w:val="21"/>
                <w:lang w:val="en-US" w:eastAsia="zh-CN"/>
              </w:rPr>
              <w:t>基础理论知识</w:t>
            </w:r>
            <w:r>
              <w:rPr>
                <w:rFonts w:hint="default" w:ascii="Times New Roman" w:hAnsi="Times New Roman" w:eastAsia="宋体" w:cs="Times New Roman"/>
                <w:b w:val="0"/>
                <w:bCs w:val="0"/>
                <w:color w:val="auto"/>
                <w:kern w:val="0"/>
                <w:sz w:val="21"/>
                <w:szCs w:val="21"/>
                <w:lang w:val="en-US" w:eastAsia="zh-CN"/>
              </w:rPr>
              <w:t>课程</w:t>
            </w:r>
          </w:p>
        </w:tc>
        <w:tc>
          <w:tcPr>
            <w:tcW w:w="3540"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i w:val="0"/>
                <w:iCs w:val="0"/>
                <w:color w:val="auto"/>
                <w:kern w:val="0"/>
                <w:sz w:val="21"/>
                <w:szCs w:val="21"/>
                <w:u w:val="none"/>
                <w:lang w:val="en-US" w:eastAsia="zh-CN" w:bidi="ar"/>
              </w:rPr>
              <w:t>生物医药与转化医学</w:t>
            </w:r>
          </w:p>
        </w:tc>
        <w:tc>
          <w:tcPr>
            <w:tcW w:w="615" w:type="dxa"/>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2</w:t>
            </w:r>
          </w:p>
        </w:tc>
        <w:tc>
          <w:tcPr>
            <w:tcW w:w="915" w:type="dxa"/>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32</w:t>
            </w:r>
          </w:p>
        </w:tc>
        <w:tc>
          <w:tcPr>
            <w:tcW w:w="892"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auto"/>
                <w:kern w:val="0"/>
                <w:sz w:val="21"/>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1980" w:type="dxa"/>
            <w:vMerge w:val="continue"/>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p>
        </w:tc>
        <w:tc>
          <w:tcPr>
            <w:tcW w:w="3540"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i w:val="0"/>
                <w:iCs w:val="0"/>
                <w:color w:val="auto"/>
                <w:kern w:val="0"/>
                <w:sz w:val="21"/>
                <w:szCs w:val="21"/>
                <w:u w:val="none"/>
                <w:lang w:val="en-US" w:eastAsia="zh-CN" w:bidi="ar"/>
              </w:rPr>
              <w:t>医学统计学</w:t>
            </w:r>
          </w:p>
        </w:tc>
        <w:tc>
          <w:tcPr>
            <w:tcW w:w="615" w:type="dxa"/>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2</w:t>
            </w:r>
          </w:p>
        </w:tc>
        <w:tc>
          <w:tcPr>
            <w:tcW w:w="915" w:type="dxa"/>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32</w:t>
            </w:r>
          </w:p>
        </w:tc>
        <w:tc>
          <w:tcPr>
            <w:tcW w:w="892"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1980"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color w:val="auto"/>
                <w:sz w:val="21"/>
                <w:szCs w:val="21"/>
                <w:lang w:val="en-US" w:eastAsia="zh-CN"/>
              </w:rPr>
              <w:t>综合素质培养</w:t>
            </w:r>
            <w:r>
              <w:rPr>
                <w:rFonts w:hint="default" w:ascii="Times New Roman" w:hAnsi="Times New Roman" w:eastAsia="宋体" w:cs="Times New Roman"/>
                <w:b w:val="0"/>
                <w:bCs w:val="0"/>
                <w:color w:val="auto"/>
                <w:kern w:val="0"/>
                <w:sz w:val="21"/>
                <w:szCs w:val="21"/>
                <w:lang w:val="en-US" w:eastAsia="zh-CN"/>
              </w:rPr>
              <w:t>课程</w:t>
            </w:r>
          </w:p>
        </w:tc>
        <w:tc>
          <w:tcPr>
            <w:tcW w:w="3540"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i w:val="0"/>
                <w:iCs w:val="0"/>
                <w:color w:val="auto"/>
                <w:kern w:val="0"/>
                <w:sz w:val="21"/>
                <w:szCs w:val="21"/>
                <w:u w:val="none"/>
                <w:lang w:val="en-US" w:eastAsia="zh-CN" w:bidi="ar"/>
              </w:rPr>
              <w:t>科研设计与方法</w:t>
            </w:r>
          </w:p>
        </w:tc>
        <w:tc>
          <w:tcPr>
            <w:tcW w:w="615" w:type="dxa"/>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2</w:t>
            </w:r>
          </w:p>
        </w:tc>
        <w:tc>
          <w:tcPr>
            <w:tcW w:w="915" w:type="dxa"/>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32</w:t>
            </w:r>
          </w:p>
        </w:tc>
        <w:tc>
          <w:tcPr>
            <w:tcW w:w="892"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auto"/>
                <w:kern w:val="0"/>
                <w:sz w:val="21"/>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64" w:type="dxa"/>
            <w:vMerge w:val="restart"/>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p>
            <w:pPr>
              <w:pStyle w:val="10"/>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b/>
                <w:sz w:val="21"/>
                <w:szCs w:val="21"/>
              </w:rPr>
            </w:pPr>
          </w:p>
          <w:p>
            <w:pPr>
              <w:pStyle w:val="10"/>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b/>
                <w:sz w:val="21"/>
                <w:szCs w:val="21"/>
              </w:rPr>
            </w:pPr>
          </w:p>
          <w:p>
            <w:pPr>
              <w:pStyle w:val="10"/>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b/>
                <w:sz w:val="21"/>
                <w:szCs w:val="21"/>
              </w:rPr>
            </w:pPr>
            <w:r>
              <w:rPr>
                <w:rFonts w:hint="default" w:ascii="Times New Roman" w:hAnsi="Times New Roman" w:eastAsia="宋体" w:cs="Times New Roman"/>
                <w:sz w:val="21"/>
                <w:szCs w:val="21"/>
                <w:lang w:val="en-US" w:eastAsia="zh-CN"/>
              </w:rPr>
              <w:t>专业选修课</w:t>
            </w:r>
            <w:r>
              <w:rPr>
                <w:rFonts w:hint="default" w:ascii="Times New Roman" w:hAnsi="Times New Roman" w:eastAsia="宋体" w:cs="Times New Roman"/>
                <w:color w:val="auto"/>
                <w:kern w:val="0"/>
                <w:sz w:val="21"/>
                <w:szCs w:val="21"/>
                <w:lang w:val="en-US" w:eastAsia="zh-CN"/>
              </w:rPr>
              <w:t>（8学分）</w:t>
            </w:r>
          </w:p>
          <w:p>
            <w:pPr>
              <w:pStyle w:val="10"/>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b/>
                <w:sz w:val="21"/>
                <w:szCs w:val="21"/>
              </w:rPr>
            </w:pPr>
          </w:p>
          <w:p>
            <w:pPr>
              <w:pStyle w:val="10"/>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b/>
                <w:sz w:val="21"/>
                <w:szCs w:val="21"/>
              </w:rPr>
            </w:pPr>
          </w:p>
          <w:p>
            <w:pPr>
              <w:pStyle w:val="10"/>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b/>
                <w:sz w:val="21"/>
                <w:szCs w:val="21"/>
              </w:rPr>
            </w:pPr>
          </w:p>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Align w:val="center"/>
          </w:tcPr>
          <w:p>
            <w:pPr>
              <w:widowControl/>
              <w:jc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color w:val="auto"/>
                <w:kern w:val="0"/>
                <w:sz w:val="21"/>
                <w:szCs w:val="21"/>
                <w:lang w:val="en-US" w:eastAsia="zh-CN"/>
              </w:rPr>
              <w:t>综合素质培养</w:t>
            </w:r>
            <w:r>
              <w:rPr>
                <w:rFonts w:hint="default" w:ascii="Times New Roman" w:hAnsi="Times New Roman" w:eastAsia="宋体" w:cs="Times New Roman"/>
                <w:b w:val="0"/>
                <w:bCs w:val="0"/>
                <w:color w:val="auto"/>
                <w:kern w:val="0"/>
                <w:sz w:val="21"/>
                <w:szCs w:val="21"/>
                <w:lang w:val="en-US" w:eastAsia="zh-CN"/>
              </w:rPr>
              <w:t>课程</w:t>
            </w: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firstLine="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highlight w:val="yellow"/>
                <w:lang w:val="en-US" w:eastAsia="zh-CN"/>
              </w:rPr>
              <w:t>高级临床药学实践教程</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4"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4"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w:t>
            </w:r>
          </w:p>
        </w:tc>
        <w:tc>
          <w:tcPr>
            <w:tcW w:w="892" w:type="dxa"/>
            <w:vMerge w:val="restart"/>
            <w:vAlign w:val="center"/>
          </w:tcPr>
          <w:p>
            <w:pPr>
              <w:pStyle w:val="10"/>
              <w:keepNext w:val="0"/>
              <w:keepLines w:val="0"/>
              <w:pageBreakBefore w:val="0"/>
              <w:widowControl w:val="0"/>
              <w:kinsoku/>
              <w:wordWrap/>
              <w:overflowPunct/>
              <w:topLinePunct w:val="0"/>
              <w:bidi w:val="0"/>
              <w:adjustRightInd/>
              <w:snapToGrid/>
              <w:spacing w:line="240" w:lineRule="auto"/>
              <w:ind w:left="4" w:firstLine="0"/>
              <w:jc w:val="both"/>
              <w:textAlignment w:val="auto"/>
              <w:rPr>
                <w:rFonts w:hint="default" w:ascii="宋体" w:hAnsi="宋体" w:eastAsia="宋体" w:cs="宋体"/>
                <w:sz w:val="21"/>
                <w:szCs w:val="21"/>
                <w:lang w:val="en-US" w:eastAsia="zh-CN"/>
              </w:rPr>
            </w:pPr>
            <w:r>
              <w:rPr>
                <w:rFonts w:hint="eastAsia" w:cs="宋体"/>
                <w:sz w:val="21"/>
                <w:szCs w:val="21"/>
                <w:highlight w:val="yellow"/>
                <w:lang w:val="en-US" w:eastAsia="zh-CN"/>
              </w:rPr>
              <w:t>选修，二十四选四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restart"/>
            <w:vAlign w:val="center"/>
          </w:tcPr>
          <w:p>
            <w:pPr>
              <w:widowControl/>
              <w:jc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color w:val="000000"/>
                <w:kern w:val="0"/>
                <w:sz w:val="21"/>
                <w:szCs w:val="21"/>
                <w:lang w:val="en-US" w:eastAsia="zh-CN"/>
              </w:rPr>
              <w:t>基础理论知识课程</w:t>
            </w: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auto"/>
                <w:sz w:val="21"/>
                <w:szCs w:val="21"/>
              </w:rPr>
              <w:t>药物</w:t>
            </w:r>
            <w:r>
              <w:rPr>
                <w:rFonts w:hint="default" w:ascii="Times New Roman" w:hAnsi="Times New Roman" w:eastAsia="宋体" w:cs="Times New Roman"/>
                <w:color w:val="auto"/>
                <w:sz w:val="21"/>
                <w:szCs w:val="21"/>
                <w:lang w:val="en-US" w:eastAsia="zh-CN"/>
              </w:rPr>
              <w:t>分子设计</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auto"/>
                <w:kern w:val="0"/>
                <w:sz w:val="21"/>
                <w:szCs w:val="21"/>
                <w:lang w:val="en-US" w:eastAsia="zh-CN" w:bidi="ar-SA"/>
              </w:rPr>
            </w:pPr>
          </w:p>
        </w:tc>
        <w:tc>
          <w:tcPr>
            <w:tcW w:w="3540" w:type="dxa"/>
            <w:vAlign w:val="center"/>
          </w:tcPr>
          <w:p>
            <w:pPr>
              <w:widowControl/>
              <w:jc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color w:val="auto"/>
                <w:kern w:val="0"/>
                <w:sz w:val="21"/>
                <w:szCs w:val="21"/>
              </w:rPr>
              <w:t xml:space="preserve">医用生物材料的技术进展 </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auto"/>
                <w:kern w:val="0"/>
                <w:sz w:val="21"/>
                <w:szCs w:val="21"/>
                <w:lang w:val="en-US" w:eastAsia="zh-CN" w:bidi="ar-SA"/>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kern w:val="0"/>
                <w:sz w:val="21"/>
                <w:szCs w:val="21"/>
                <w:lang w:val="en-US" w:eastAsia="zh-CN" w:bidi="zh-CN"/>
              </w:rPr>
            </w:pPr>
            <w:r>
              <w:rPr>
                <w:rFonts w:hint="default" w:ascii="Times New Roman" w:hAnsi="Times New Roman" w:eastAsia="宋体" w:cs="Times New Roman"/>
                <w:kern w:val="0"/>
                <w:sz w:val="21"/>
                <w:szCs w:val="21"/>
                <w:lang w:val="en-US" w:eastAsia="zh-CN" w:bidi="zh-CN"/>
              </w:rPr>
              <w:t>药物化学专论</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auto"/>
                <w:kern w:val="0"/>
                <w:sz w:val="21"/>
                <w:szCs w:val="21"/>
                <w:lang w:val="en-US" w:eastAsia="zh-CN" w:bidi="ar-SA"/>
              </w:rPr>
            </w:pPr>
          </w:p>
        </w:tc>
        <w:tc>
          <w:tcPr>
            <w:tcW w:w="3540" w:type="dxa"/>
            <w:vAlign w:val="center"/>
          </w:tcPr>
          <w:p>
            <w:pPr>
              <w:widowControl/>
              <w:jc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color w:val="auto"/>
                <w:kern w:val="0"/>
                <w:sz w:val="21"/>
                <w:szCs w:val="21"/>
                <w:lang w:val="en-US" w:eastAsia="zh-CN" w:bidi="ar-SA"/>
              </w:rPr>
              <w:t>药物新剂型概述</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restart"/>
            <w:vAlign w:val="center"/>
          </w:tcPr>
          <w:p>
            <w:pPr>
              <w:widowControl/>
              <w:jc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000000"/>
                <w:kern w:val="0"/>
                <w:sz w:val="21"/>
                <w:szCs w:val="21"/>
                <w:lang w:val="en-US" w:eastAsia="zh-CN"/>
              </w:rPr>
              <w:t>专业基础课程</w:t>
            </w: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kern w:val="0"/>
                <w:sz w:val="21"/>
                <w:szCs w:val="21"/>
                <w:lang w:val="en-US" w:eastAsia="zh-CN" w:bidi="zh-CN"/>
              </w:rPr>
            </w:pPr>
            <w:r>
              <w:rPr>
                <w:rFonts w:hint="default" w:ascii="Times New Roman" w:hAnsi="Times New Roman" w:eastAsia="宋体" w:cs="Times New Roman"/>
                <w:sz w:val="21"/>
                <w:szCs w:val="21"/>
              </w:rPr>
              <w:t>医药知识产权</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auto"/>
                <w:kern w:val="0"/>
                <w:sz w:val="21"/>
                <w:szCs w:val="21"/>
                <w:lang w:val="en-US" w:eastAsia="zh-CN" w:bidi="ar-SA"/>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auto"/>
                <w:kern w:val="0"/>
                <w:sz w:val="21"/>
                <w:szCs w:val="21"/>
                <w:lang w:val="en-US" w:eastAsia="zh-CN" w:bidi="zh-CN"/>
              </w:rPr>
              <w:t>生物技术制药</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auto"/>
                <w:kern w:val="0"/>
                <w:sz w:val="21"/>
                <w:szCs w:val="21"/>
                <w:lang w:val="en-US" w:eastAsia="zh-CN" w:bidi="ar-SA"/>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kern w:val="0"/>
                <w:sz w:val="21"/>
                <w:szCs w:val="21"/>
                <w:lang w:val="en-US" w:eastAsia="zh-CN" w:bidi="zh-CN"/>
              </w:rPr>
            </w:pPr>
            <w:r>
              <w:rPr>
                <w:rFonts w:hint="default" w:ascii="Times New Roman" w:hAnsi="Times New Roman" w:eastAsia="宋体" w:cs="Times New Roman"/>
                <w:sz w:val="21"/>
                <w:szCs w:val="21"/>
                <w:lang w:val="en-US" w:eastAsia="zh-CN"/>
              </w:rPr>
              <w:t>高</w:t>
            </w:r>
            <w:r>
              <w:rPr>
                <w:rFonts w:hint="eastAsia" w:ascii="Times New Roman" w:hAnsi="Times New Roman" w:cs="Times New Roman"/>
                <w:sz w:val="21"/>
                <w:szCs w:val="21"/>
                <w:lang w:val="en-US" w:eastAsia="zh-CN"/>
              </w:rPr>
              <w:t>级</w:t>
            </w:r>
            <w:r>
              <w:rPr>
                <w:rFonts w:hint="default" w:ascii="Times New Roman" w:hAnsi="Times New Roman" w:eastAsia="宋体" w:cs="Times New Roman"/>
                <w:sz w:val="21"/>
                <w:szCs w:val="21"/>
                <w:lang w:val="en-US" w:eastAsia="zh-CN"/>
              </w:rPr>
              <w:t>药理学</w:t>
            </w:r>
          </w:p>
        </w:tc>
        <w:tc>
          <w:tcPr>
            <w:tcW w:w="615" w:type="dxa"/>
            <w:vAlign w:val="center"/>
          </w:tcPr>
          <w:p>
            <w:pPr>
              <w:widowControl/>
              <w:jc w:val="center"/>
              <w:rPr>
                <w:rFonts w:hint="default" w:ascii="Times New Roman" w:hAnsi="Times New Roman" w:eastAsia="宋体" w:cs="Times New Roman"/>
                <w:color w:val="000000"/>
                <w:kern w:val="0"/>
                <w:sz w:val="21"/>
                <w:szCs w:val="21"/>
                <w:lang w:val="zh-CN" w:eastAsia="zh-CN" w:bidi="ar-SA"/>
              </w:rPr>
            </w:pPr>
            <w:r>
              <w:rPr>
                <w:rFonts w:hint="default" w:ascii="Times New Roman" w:hAnsi="Times New Roman" w:eastAsia="宋体" w:cs="Times New Roman"/>
                <w:color w:val="000000"/>
                <w:kern w:val="0"/>
                <w:sz w:val="21"/>
                <w:szCs w:val="21"/>
              </w:rPr>
              <w:t>2</w:t>
            </w:r>
          </w:p>
        </w:tc>
        <w:tc>
          <w:tcPr>
            <w:tcW w:w="915" w:type="dxa"/>
            <w:vAlign w:val="center"/>
          </w:tcPr>
          <w:p>
            <w:pPr>
              <w:widowControl/>
              <w:jc w:val="center"/>
              <w:rPr>
                <w:rFonts w:hint="default" w:ascii="Times New Roman" w:hAnsi="Times New Roman" w:eastAsia="宋体" w:cs="Times New Roman"/>
                <w:color w:val="000000"/>
                <w:kern w:val="0"/>
                <w:sz w:val="21"/>
                <w:szCs w:val="21"/>
                <w:lang w:val="zh-CN" w:eastAsia="zh-CN" w:bidi="ar-SA"/>
              </w:rPr>
            </w:pPr>
            <w:r>
              <w:rPr>
                <w:rFonts w:hint="default" w:ascii="Times New Roman" w:hAnsi="Times New Roman" w:eastAsia="宋体" w:cs="Times New Roman"/>
                <w:color w:val="000000"/>
                <w:kern w:val="0"/>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auto"/>
                <w:kern w:val="0"/>
                <w:sz w:val="21"/>
                <w:szCs w:val="21"/>
                <w:lang w:val="en-US" w:eastAsia="zh-CN" w:bidi="ar-SA"/>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kern w:val="0"/>
                <w:sz w:val="21"/>
                <w:szCs w:val="21"/>
                <w:lang w:val="en-US" w:eastAsia="zh-CN" w:bidi="zh-CN"/>
              </w:rPr>
            </w:pPr>
            <w:r>
              <w:rPr>
                <w:rFonts w:hint="default" w:ascii="Times New Roman" w:hAnsi="Times New Roman" w:eastAsia="宋体" w:cs="Times New Roman"/>
                <w:kern w:val="0"/>
                <w:sz w:val="21"/>
                <w:szCs w:val="21"/>
                <w:lang w:val="zh-CN" w:eastAsia="zh-CN" w:bidi="zh-CN"/>
              </w:rPr>
              <w:t>现代药物分析学选论</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000000"/>
                <w:kern w:val="0"/>
                <w:sz w:val="21"/>
                <w:szCs w:val="21"/>
                <w:lang w:val="en-US" w:eastAsia="zh-CN" w:bidi="ar-SA"/>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auto"/>
                <w:sz w:val="21"/>
                <w:szCs w:val="21"/>
                <w:lang w:val="en-US" w:eastAsia="zh-CN"/>
              </w:rPr>
              <w:t>临床药理学</w:t>
            </w:r>
          </w:p>
        </w:tc>
        <w:tc>
          <w:tcPr>
            <w:tcW w:w="615" w:type="dxa"/>
            <w:vAlign w:val="center"/>
          </w:tcPr>
          <w:p>
            <w:pPr>
              <w:widowControl/>
              <w:jc w:val="center"/>
              <w:rPr>
                <w:rFonts w:hint="default" w:ascii="Times New Roman" w:hAnsi="Times New Roman" w:eastAsia="宋体" w:cs="Times New Roman"/>
                <w:color w:val="000000"/>
                <w:kern w:val="0"/>
                <w:sz w:val="21"/>
                <w:szCs w:val="21"/>
                <w:lang w:val="zh-CN" w:eastAsia="zh-CN" w:bidi="ar-SA"/>
              </w:rPr>
            </w:pPr>
            <w:r>
              <w:rPr>
                <w:rFonts w:hint="default" w:ascii="Times New Roman" w:hAnsi="Times New Roman" w:eastAsia="宋体" w:cs="Times New Roman"/>
                <w:color w:val="000000"/>
                <w:kern w:val="0"/>
                <w:sz w:val="21"/>
                <w:szCs w:val="21"/>
              </w:rPr>
              <w:t>2</w:t>
            </w:r>
          </w:p>
        </w:tc>
        <w:tc>
          <w:tcPr>
            <w:tcW w:w="915" w:type="dxa"/>
            <w:vAlign w:val="center"/>
          </w:tcPr>
          <w:p>
            <w:pPr>
              <w:widowControl/>
              <w:jc w:val="center"/>
              <w:rPr>
                <w:rFonts w:hint="default" w:ascii="Times New Roman" w:hAnsi="Times New Roman" w:eastAsia="宋体" w:cs="Times New Roman"/>
                <w:color w:val="000000"/>
                <w:kern w:val="0"/>
                <w:sz w:val="21"/>
                <w:szCs w:val="21"/>
                <w:lang w:val="zh-CN" w:eastAsia="zh-CN" w:bidi="ar-SA"/>
              </w:rPr>
            </w:pPr>
            <w:r>
              <w:rPr>
                <w:rFonts w:hint="default" w:ascii="Times New Roman" w:hAnsi="Times New Roman" w:eastAsia="宋体" w:cs="Times New Roman"/>
                <w:color w:val="000000"/>
                <w:kern w:val="0"/>
                <w:sz w:val="21"/>
                <w:szCs w:val="21"/>
              </w:rPr>
              <w:t>32</w:t>
            </w:r>
          </w:p>
        </w:tc>
        <w:tc>
          <w:tcPr>
            <w:tcW w:w="892"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000000"/>
                <w:kern w:val="0"/>
                <w:sz w:val="21"/>
                <w:szCs w:val="21"/>
                <w:lang w:val="en-US" w:eastAsia="zh-CN" w:bidi="ar-SA"/>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auto"/>
                <w:kern w:val="0"/>
                <w:sz w:val="21"/>
                <w:szCs w:val="21"/>
                <w:lang w:val="en-US" w:eastAsia="zh-CN" w:bidi="zh-CN"/>
              </w:rPr>
              <w:t>高等分子生物学</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restart"/>
            <w:vAlign w:val="center"/>
          </w:tcPr>
          <w:p>
            <w:pPr>
              <w:widowControl/>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专业课程</w:t>
            </w: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auto"/>
                <w:kern w:val="0"/>
                <w:sz w:val="21"/>
                <w:szCs w:val="21"/>
                <w:lang w:val="en-US" w:eastAsia="zh-CN" w:bidi="zh-CN"/>
              </w:rPr>
              <w:t>药物代谢与药动学</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auto"/>
                <w:kern w:val="0"/>
                <w:sz w:val="21"/>
                <w:szCs w:val="21"/>
                <w:lang w:val="en-US" w:eastAsia="zh-CN" w:bidi="ar-SA"/>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新药</w:t>
            </w:r>
            <w:r>
              <w:rPr>
                <w:rFonts w:hint="default" w:ascii="Times New Roman" w:hAnsi="Times New Roman" w:eastAsia="宋体" w:cs="Times New Roman"/>
                <w:sz w:val="21"/>
                <w:szCs w:val="21"/>
                <w:lang w:val="en-US" w:eastAsia="zh-CN"/>
              </w:rPr>
              <w:t>评审与注册</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auto"/>
                <w:kern w:val="0"/>
                <w:sz w:val="21"/>
                <w:szCs w:val="21"/>
                <w:lang w:val="en-US" w:eastAsia="zh-CN" w:bidi="ar-SA"/>
              </w:rPr>
            </w:pPr>
          </w:p>
        </w:tc>
        <w:tc>
          <w:tcPr>
            <w:tcW w:w="3540" w:type="dxa"/>
            <w:vAlign w:val="center"/>
          </w:tcPr>
          <w:p>
            <w:pPr>
              <w:widowControl/>
              <w:jc w:val="center"/>
              <w:rPr>
                <w:rFonts w:hint="default" w:ascii="Times New Roman" w:hAnsi="Times New Roman" w:eastAsia="宋体" w:cs="Times New Roman"/>
                <w:color w:val="auto"/>
                <w:kern w:val="0"/>
                <w:sz w:val="21"/>
                <w:szCs w:val="21"/>
                <w:lang w:val="zh-CN" w:eastAsia="zh-CN" w:bidi="ar-SA"/>
              </w:rPr>
            </w:pPr>
            <w:r>
              <w:rPr>
                <w:rFonts w:hint="default" w:ascii="Times New Roman" w:hAnsi="Times New Roman" w:eastAsia="宋体" w:cs="Times New Roman"/>
                <w:color w:val="auto"/>
                <w:kern w:val="0"/>
                <w:sz w:val="21"/>
                <w:szCs w:val="21"/>
              </w:rPr>
              <w:t xml:space="preserve"> 药用辅料学</w:t>
            </w:r>
          </w:p>
        </w:tc>
        <w:tc>
          <w:tcPr>
            <w:tcW w:w="615" w:type="dxa"/>
            <w:vAlign w:val="center"/>
          </w:tcPr>
          <w:p>
            <w:pPr>
              <w:widowControl/>
              <w:jc w:val="center"/>
              <w:rPr>
                <w:rFonts w:hint="default" w:ascii="Times New Roman" w:hAnsi="Times New Roman" w:eastAsia="宋体" w:cs="Times New Roman"/>
                <w:color w:val="auto"/>
                <w:kern w:val="0"/>
                <w:sz w:val="21"/>
                <w:szCs w:val="21"/>
                <w:lang w:val="zh-CN" w:eastAsia="zh-CN" w:bidi="ar-SA"/>
              </w:rPr>
            </w:pPr>
            <w:r>
              <w:rPr>
                <w:rFonts w:hint="default" w:ascii="Times New Roman" w:hAnsi="Times New Roman" w:eastAsia="宋体" w:cs="Times New Roman"/>
                <w:color w:val="auto"/>
                <w:kern w:val="0"/>
                <w:sz w:val="21"/>
                <w:szCs w:val="21"/>
              </w:rPr>
              <w:t>2</w:t>
            </w:r>
          </w:p>
        </w:tc>
        <w:tc>
          <w:tcPr>
            <w:tcW w:w="915" w:type="dxa"/>
            <w:vAlign w:val="center"/>
          </w:tcPr>
          <w:p>
            <w:pPr>
              <w:widowControl/>
              <w:jc w:val="center"/>
              <w:rPr>
                <w:rFonts w:hint="default" w:ascii="Times New Roman" w:hAnsi="Times New Roman" w:eastAsia="宋体" w:cs="Times New Roman"/>
                <w:color w:val="auto"/>
                <w:kern w:val="0"/>
                <w:sz w:val="21"/>
                <w:szCs w:val="21"/>
                <w:lang w:val="zh-CN" w:eastAsia="zh-CN" w:bidi="ar-SA"/>
              </w:rPr>
            </w:pPr>
            <w:r>
              <w:rPr>
                <w:rFonts w:hint="default" w:ascii="Times New Roman" w:hAnsi="Times New Roman" w:eastAsia="宋体" w:cs="Times New Roman"/>
                <w:color w:val="auto"/>
                <w:kern w:val="0"/>
                <w:sz w:val="21"/>
                <w:szCs w:val="21"/>
              </w:rPr>
              <w:t>32</w:t>
            </w:r>
          </w:p>
        </w:tc>
        <w:tc>
          <w:tcPr>
            <w:tcW w:w="892"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auto"/>
                <w:kern w:val="0"/>
                <w:sz w:val="21"/>
                <w:szCs w:val="21"/>
                <w:lang w:val="en-US" w:eastAsia="zh-CN" w:bidi="ar-SA"/>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kern w:val="0"/>
                <w:sz w:val="21"/>
                <w:szCs w:val="21"/>
                <w:lang w:val="en-US" w:eastAsia="zh-CN" w:bidi="zh-CN"/>
              </w:rPr>
            </w:pPr>
            <w:r>
              <w:rPr>
                <w:rFonts w:hint="default" w:ascii="Times New Roman" w:hAnsi="Times New Roman" w:eastAsia="宋体" w:cs="Times New Roman"/>
                <w:kern w:val="0"/>
                <w:sz w:val="21"/>
                <w:szCs w:val="21"/>
                <w:lang w:val="en-US" w:eastAsia="zh-CN" w:bidi="zh-CN"/>
              </w:rPr>
              <w:t>波谱解析</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64"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auto"/>
                <w:kern w:val="0"/>
                <w:sz w:val="21"/>
                <w:szCs w:val="21"/>
                <w:lang w:val="en-US" w:eastAsia="zh-CN" w:bidi="ar-SA"/>
              </w:rPr>
            </w:pPr>
          </w:p>
        </w:tc>
        <w:tc>
          <w:tcPr>
            <w:tcW w:w="3540" w:type="dxa"/>
            <w:vAlign w:val="center"/>
          </w:tcPr>
          <w:p>
            <w:pPr>
              <w:widowControl/>
              <w:jc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color w:val="auto"/>
                <w:kern w:val="0"/>
                <w:sz w:val="21"/>
                <w:szCs w:val="21"/>
                <w:lang w:val="en-US" w:eastAsia="zh-CN"/>
              </w:rPr>
              <w:t>纳米药物技术</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864" w:type="dxa"/>
            <w:vMerge w:val="continue"/>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000000"/>
                <w:kern w:val="0"/>
                <w:sz w:val="21"/>
                <w:szCs w:val="21"/>
                <w:lang w:val="en-US" w:eastAsia="zh-CN"/>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auto"/>
                <w:kern w:val="0"/>
                <w:sz w:val="21"/>
                <w:szCs w:val="21"/>
                <w:lang w:val="en-US" w:eastAsia="zh-CN" w:bidi="zh-CN"/>
              </w:rPr>
              <w:t>肿瘤药理分子生物学</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864" w:type="dxa"/>
            <w:vMerge w:val="continue"/>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000000"/>
                <w:kern w:val="0"/>
                <w:sz w:val="21"/>
                <w:szCs w:val="21"/>
                <w:lang w:val="en-US" w:eastAsia="zh-CN"/>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FF0000"/>
                <w:kern w:val="0"/>
                <w:sz w:val="21"/>
                <w:szCs w:val="21"/>
                <w:lang w:val="en-US" w:eastAsia="zh-CN" w:bidi="zh-CN"/>
              </w:rPr>
              <w:t>药品标准实务</w:t>
            </w:r>
            <w:r>
              <w:rPr>
                <w:rFonts w:hint="eastAsia" w:ascii="Times New Roman" w:hAnsi="Times New Roman" w:cs="Times New Roman"/>
                <w:color w:val="FF0000"/>
                <w:kern w:val="0"/>
                <w:sz w:val="21"/>
                <w:szCs w:val="21"/>
                <w:lang w:val="en-US" w:eastAsia="zh-CN" w:bidi="zh-CN"/>
              </w:rPr>
              <w:t>（暂不开课）</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864" w:type="dxa"/>
            <w:vMerge w:val="continue"/>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000000"/>
                <w:kern w:val="0"/>
                <w:sz w:val="21"/>
                <w:szCs w:val="21"/>
                <w:lang w:val="en-US" w:eastAsia="zh-CN"/>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FF0000"/>
                <w:kern w:val="0"/>
                <w:sz w:val="21"/>
                <w:szCs w:val="21"/>
                <w:lang w:val="en-US" w:eastAsia="zh-CN" w:bidi="zh-CN"/>
              </w:rPr>
              <w:t>药品质量管理</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64" w:type="dxa"/>
            <w:vMerge w:val="continue"/>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restart"/>
            <w:vAlign w:val="center"/>
          </w:tcPr>
          <w:p>
            <w:pPr>
              <w:widowControl/>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专业课程</w:t>
            </w: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FF0000"/>
                <w:kern w:val="0"/>
                <w:sz w:val="21"/>
                <w:szCs w:val="21"/>
                <w:lang w:val="en-US" w:eastAsia="zh-CN" w:bidi="zh-CN"/>
              </w:rPr>
              <w:t>药事法规实务</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4" w:type="dxa"/>
            <w:vMerge w:val="continue"/>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000000"/>
                <w:kern w:val="0"/>
                <w:sz w:val="21"/>
                <w:szCs w:val="21"/>
                <w:lang w:val="en-US" w:eastAsia="zh-CN"/>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FF0000"/>
                <w:kern w:val="0"/>
                <w:sz w:val="21"/>
                <w:szCs w:val="21"/>
                <w:lang w:val="en-US" w:eastAsia="zh-CN" w:bidi="zh-CN"/>
              </w:rPr>
              <w:t>医药企业管理理论与实务</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864" w:type="dxa"/>
            <w:vMerge w:val="continue"/>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000000"/>
                <w:kern w:val="0"/>
                <w:sz w:val="21"/>
                <w:szCs w:val="21"/>
                <w:lang w:val="en-US" w:eastAsia="zh-CN"/>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FF0000"/>
                <w:kern w:val="0"/>
                <w:sz w:val="21"/>
                <w:szCs w:val="21"/>
                <w:lang w:val="en-US" w:eastAsia="zh-CN" w:bidi="zh-CN"/>
              </w:rPr>
              <w:t>药物遗传学</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864" w:type="dxa"/>
            <w:vMerge w:val="continue"/>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000000"/>
                <w:kern w:val="0"/>
                <w:sz w:val="21"/>
                <w:szCs w:val="21"/>
                <w:lang w:val="en-US" w:eastAsia="zh-CN"/>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FF0000"/>
                <w:kern w:val="0"/>
                <w:sz w:val="21"/>
                <w:szCs w:val="21"/>
                <w:lang w:val="en-US" w:eastAsia="zh-CN" w:bidi="zh-CN"/>
              </w:rPr>
              <w:t>临床药动学</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864" w:type="dxa"/>
            <w:vMerge w:val="continue"/>
          </w:tcPr>
          <w:p>
            <w:pPr>
              <w:keepNext w:val="0"/>
              <w:keepLines w:val="0"/>
              <w:pageBreakBefore w:val="0"/>
              <w:widowControl w:val="0"/>
              <w:kinsoku/>
              <w:wordWrap/>
              <w:overflowPunct/>
              <w:topLinePunct w:val="0"/>
              <w:bidi w:val="0"/>
              <w:adjustRightInd/>
              <w:snapToGrid/>
              <w:spacing w:line="240" w:lineRule="auto"/>
              <w:ind w:firstLine="0"/>
              <w:jc w:val="center"/>
              <w:textAlignment w:val="auto"/>
              <w:rPr>
                <w:rFonts w:hint="default" w:ascii="Times New Roman" w:hAnsi="Times New Roman" w:eastAsia="宋体" w:cs="Times New Roman"/>
                <w:sz w:val="21"/>
                <w:szCs w:val="21"/>
              </w:rPr>
            </w:pPr>
          </w:p>
        </w:tc>
        <w:tc>
          <w:tcPr>
            <w:tcW w:w="1980" w:type="dxa"/>
            <w:vMerge w:val="continue"/>
            <w:vAlign w:val="center"/>
          </w:tcPr>
          <w:p>
            <w:pPr>
              <w:widowControl/>
              <w:jc w:val="center"/>
              <w:rPr>
                <w:rFonts w:hint="default" w:ascii="Times New Roman" w:hAnsi="Times New Roman" w:eastAsia="宋体" w:cs="Times New Roman"/>
                <w:color w:val="000000"/>
                <w:kern w:val="0"/>
                <w:sz w:val="21"/>
                <w:szCs w:val="21"/>
                <w:lang w:val="en-US" w:eastAsia="zh-CN"/>
              </w:rPr>
            </w:pPr>
          </w:p>
        </w:tc>
        <w:tc>
          <w:tcPr>
            <w:tcW w:w="3540" w:type="dxa"/>
            <w:vAlign w:val="center"/>
          </w:tcPr>
          <w:p>
            <w:pPr>
              <w:pStyle w:val="10"/>
              <w:keepNext w:val="0"/>
              <w:keepLines w:val="0"/>
              <w:pageBreakBefore w:val="0"/>
              <w:widowControl w:val="0"/>
              <w:kinsoku/>
              <w:wordWrap/>
              <w:overflowPunct/>
              <w:topLinePunct w:val="0"/>
              <w:bidi w:val="0"/>
              <w:adjustRightInd/>
              <w:snapToGrid/>
              <w:spacing w:line="240" w:lineRule="auto"/>
              <w:ind w:left="4" w:leftChars="0" w:firstLine="0" w:firstLineChars="0"/>
              <w:jc w:val="center"/>
              <w:textAlignment w:val="auto"/>
              <w:rPr>
                <w:rFonts w:hint="default" w:ascii="Times New Roman" w:hAnsi="Times New Roman" w:eastAsia="宋体" w:cs="Times New Roman"/>
                <w:color w:val="auto"/>
                <w:kern w:val="0"/>
                <w:sz w:val="21"/>
                <w:szCs w:val="21"/>
                <w:lang w:val="en-US" w:eastAsia="zh-CN" w:bidi="zh-CN"/>
              </w:rPr>
            </w:pPr>
            <w:r>
              <w:rPr>
                <w:rFonts w:hint="default" w:ascii="Times New Roman" w:hAnsi="Times New Roman" w:eastAsia="宋体" w:cs="Times New Roman"/>
                <w:color w:val="FF0000"/>
                <w:kern w:val="0"/>
                <w:sz w:val="21"/>
                <w:szCs w:val="21"/>
                <w:lang w:val="en-US" w:eastAsia="zh-CN" w:bidi="zh-CN"/>
              </w:rPr>
              <w:t>临床药物治疗学</w:t>
            </w:r>
          </w:p>
        </w:tc>
        <w:tc>
          <w:tcPr>
            <w:tcW w:w="615" w:type="dxa"/>
            <w:vAlign w:val="center"/>
          </w:tcPr>
          <w:p>
            <w:pPr>
              <w:pStyle w:val="10"/>
              <w:keepNext w:val="0"/>
              <w:keepLines w:val="0"/>
              <w:pageBreakBefore w:val="0"/>
              <w:widowControl w:val="0"/>
              <w:kinsoku/>
              <w:wordWrap/>
              <w:overflowPunct/>
              <w:topLinePunct w:val="0"/>
              <w:bidi w:val="0"/>
              <w:adjustRightInd/>
              <w:snapToGrid/>
              <w:spacing w:line="240" w:lineRule="auto"/>
              <w:ind w:left="9" w:lef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w w:val="99"/>
                <w:sz w:val="21"/>
                <w:szCs w:val="21"/>
              </w:rPr>
              <w:t>2</w:t>
            </w:r>
          </w:p>
        </w:tc>
        <w:tc>
          <w:tcPr>
            <w:tcW w:w="915" w:type="dxa"/>
            <w:vAlign w:val="center"/>
          </w:tcPr>
          <w:p>
            <w:pPr>
              <w:pStyle w:val="10"/>
              <w:keepNext w:val="0"/>
              <w:keepLines w:val="0"/>
              <w:pageBreakBefore w:val="0"/>
              <w:widowControl w:val="0"/>
              <w:kinsoku/>
              <w:wordWrap/>
              <w:overflowPunct/>
              <w:topLinePunct w:val="0"/>
              <w:bidi w:val="0"/>
              <w:adjustRightInd/>
              <w:snapToGrid/>
              <w:spacing w:line="240" w:lineRule="auto"/>
              <w:ind w:left="122" w:leftChars="0" w:right="115" w:rightChars="0" w:firstLine="0" w:firstLineChars="0"/>
              <w:jc w:val="center"/>
              <w:textAlignment w:val="auto"/>
              <w:rPr>
                <w:rFonts w:hint="default" w:ascii="Times New Roman" w:hAnsi="Times New Roman" w:eastAsia="宋体" w:cs="Times New Roman"/>
                <w:kern w:val="0"/>
                <w:sz w:val="21"/>
                <w:szCs w:val="21"/>
                <w:lang w:val="zh-CN" w:eastAsia="zh-CN" w:bidi="zh-CN"/>
              </w:rPr>
            </w:pPr>
            <w:r>
              <w:rPr>
                <w:rFonts w:hint="default" w:ascii="Times New Roman" w:hAnsi="Times New Roman" w:eastAsia="宋体" w:cs="Times New Roman"/>
                <w:sz w:val="21"/>
                <w:szCs w:val="21"/>
              </w:rPr>
              <w:t>32</w:t>
            </w:r>
          </w:p>
        </w:tc>
        <w:tc>
          <w:tcPr>
            <w:tcW w:w="892" w:type="dxa"/>
            <w:vMerge w:val="continue"/>
            <w:vAlign w:val="center"/>
          </w:tcPr>
          <w:p>
            <w:pPr>
              <w:widowControl/>
              <w:jc w:val="center"/>
              <w:rPr>
                <w:rFonts w:hint="eastAsia" w:ascii="宋体" w:hAnsi="宋体" w:eastAsia="宋体" w:cs="宋体"/>
                <w:color w:val="000000"/>
                <w:kern w:val="0"/>
                <w:sz w:val="22"/>
                <w:szCs w:val="22"/>
                <w:lang w:val="en-US" w:eastAsia="zh-CN" w:bidi="ar-SA"/>
              </w:rPr>
            </w:pPr>
          </w:p>
        </w:tc>
      </w:tr>
    </w:tbl>
    <w:p>
      <w:pPr>
        <w:pStyle w:val="2"/>
        <w:numPr>
          <w:ilvl w:val="0"/>
          <w:numId w:val="0"/>
        </w:numPr>
        <w:ind w:leftChars="0"/>
        <w:rPr>
          <w:rFonts w:hint="default"/>
        </w:rPr>
      </w:pPr>
    </w:p>
    <w:sectPr>
      <w:footerReference r:id="rId3" w:type="default"/>
      <w:pgSz w:w="11906" w:h="16838"/>
      <w:pgMar w:top="1440" w:right="1800" w:bottom="1440" w:left="1800" w:header="720" w:footer="72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A53893"/>
    <w:multiLevelType w:val="multilevel"/>
    <w:tmpl w:val="6CA53893"/>
    <w:lvl w:ilvl="0" w:tentative="0">
      <w:start w:val="1"/>
      <w:numFmt w:val="chineseCountingThousand"/>
      <w:pStyle w:val="2"/>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5F9"/>
    <w:rsid w:val="00000871"/>
    <w:rsid w:val="00000B03"/>
    <w:rsid w:val="00000F38"/>
    <w:rsid w:val="0000127D"/>
    <w:rsid w:val="00001659"/>
    <w:rsid w:val="0000285D"/>
    <w:rsid w:val="00002EFE"/>
    <w:rsid w:val="00003918"/>
    <w:rsid w:val="0000396A"/>
    <w:rsid w:val="00004057"/>
    <w:rsid w:val="00005C98"/>
    <w:rsid w:val="00007742"/>
    <w:rsid w:val="00010BE6"/>
    <w:rsid w:val="00011ECC"/>
    <w:rsid w:val="000130F1"/>
    <w:rsid w:val="00013F2C"/>
    <w:rsid w:val="00016252"/>
    <w:rsid w:val="0001680E"/>
    <w:rsid w:val="00017236"/>
    <w:rsid w:val="00017574"/>
    <w:rsid w:val="000218C3"/>
    <w:rsid w:val="0002401E"/>
    <w:rsid w:val="000241FD"/>
    <w:rsid w:val="00024214"/>
    <w:rsid w:val="00024DAD"/>
    <w:rsid w:val="00024E9F"/>
    <w:rsid w:val="00025348"/>
    <w:rsid w:val="0002610A"/>
    <w:rsid w:val="00027342"/>
    <w:rsid w:val="00030B64"/>
    <w:rsid w:val="000327C8"/>
    <w:rsid w:val="00032D19"/>
    <w:rsid w:val="00033466"/>
    <w:rsid w:val="0003377E"/>
    <w:rsid w:val="00033C67"/>
    <w:rsid w:val="000352C0"/>
    <w:rsid w:val="00035928"/>
    <w:rsid w:val="00035C6B"/>
    <w:rsid w:val="00036CB8"/>
    <w:rsid w:val="00037031"/>
    <w:rsid w:val="00037C21"/>
    <w:rsid w:val="000411C1"/>
    <w:rsid w:val="00041BE5"/>
    <w:rsid w:val="00041E7B"/>
    <w:rsid w:val="00044851"/>
    <w:rsid w:val="00052818"/>
    <w:rsid w:val="00052D7D"/>
    <w:rsid w:val="000538C4"/>
    <w:rsid w:val="00053F2C"/>
    <w:rsid w:val="000542F1"/>
    <w:rsid w:val="000549DA"/>
    <w:rsid w:val="00055A27"/>
    <w:rsid w:val="0005627E"/>
    <w:rsid w:val="00056A93"/>
    <w:rsid w:val="00061536"/>
    <w:rsid w:val="0006194D"/>
    <w:rsid w:val="00062930"/>
    <w:rsid w:val="00064746"/>
    <w:rsid w:val="00064A7C"/>
    <w:rsid w:val="00064FA6"/>
    <w:rsid w:val="00065151"/>
    <w:rsid w:val="00065B22"/>
    <w:rsid w:val="00066445"/>
    <w:rsid w:val="00066D10"/>
    <w:rsid w:val="000675AB"/>
    <w:rsid w:val="00067724"/>
    <w:rsid w:val="000677E5"/>
    <w:rsid w:val="0007034C"/>
    <w:rsid w:val="0007137F"/>
    <w:rsid w:val="00071585"/>
    <w:rsid w:val="00071F14"/>
    <w:rsid w:val="0007227C"/>
    <w:rsid w:val="000727B5"/>
    <w:rsid w:val="00073156"/>
    <w:rsid w:val="0007324F"/>
    <w:rsid w:val="00074E7B"/>
    <w:rsid w:val="0007630D"/>
    <w:rsid w:val="00077164"/>
    <w:rsid w:val="000773F8"/>
    <w:rsid w:val="0008040D"/>
    <w:rsid w:val="000811E2"/>
    <w:rsid w:val="00081315"/>
    <w:rsid w:val="00081DD1"/>
    <w:rsid w:val="00083764"/>
    <w:rsid w:val="00084789"/>
    <w:rsid w:val="000848DD"/>
    <w:rsid w:val="0008551E"/>
    <w:rsid w:val="00085AE5"/>
    <w:rsid w:val="0009027E"/>
    <w:rsid w:val="00095146"/>
    <w:rsid w:val="00095400"/>
    <w:rsid w:val="000956DF"/>
    <w:rsid w:val="00095990"/>
    <w:rsid w:val="00095B57"/>
    <w:rsid w:val="00097413"/>
    <w:rsid w:val="000A03B4"/>
    <w:rsid w:val="000A0E7B"/>
    <w:rsid w:val="000A2886"/>
    <w:rsid w:val="000A3820"/>
    <w:rsid w:val="000A3E76"/>
    <w:rsid w:val="000A5B20"/>
    <w:rsid w:val="000A5F7F"/>
    <w:rsid w:val="000A745A"/>
    <w:rsid w:val="000B2DA0"/>
    <w:rsid w:val="000B4C2B"/>
    <w:rsid w:val="000B5A57"/>
    <w:rsid w:val="000B5FDB"/>
    <w:rsid w:val="000B608D"/>
    <w:rsid w:val="000B6302"/>
    <w:rsid w:val="000B7CF3"/>
    <w:rsid w:val="000C14D7"/>
    <w:rsid w:val="000C2388"/>
    <w:rsid w:val="000C30D8"/>
    <w:rsid w:val="000C34F1"/>
    <w:rsid w:val="000C3FFB"/>
    <w:rsid w:val="000C70BE"/>
    <w:rsid w:val="000C7685"/>
    <w:rsid w:val="000D0E68"/>
    <w:rsid w:val="000D0E92"/>
    <w:rsid w:val="000D1EB1"/>
    <w:rsid w:val="000D2B2C"/>
    <w:rsid w:val="000D4322"/>
    <w:rsid w:val="000D4C4F"/>
    <w:rsid w:val="000D4F04"/>
    <w:rsid w:val="000D5E7C"/>
    <w:rsid w:val="000D65B3"/>
    <w:rsid w:val="000E0A01"/>
    <w:rsid w:val="000E0ECA"/>
    <w:rsid w:val="000E11BE"/>
    <w:rsid w:val="000E1E13"/>
    <w:rsid w:val="000E2806"/>
    <w:rsid w:val="000E76F1"/>
    <w:rsid w:val="000F05CE"/>
    <w:rsid w:val="000F06D3"/>
    <w:rsid w:val="000F2766"/>
    <w:rsid w:val="000F46D9"/>
    <w:rsid w:val="000F494D"/>
    <w:rsid w:val="000F57C1"/>
    <w:rsid w:val="000F5FFB"/>
    <w:rsid w:val="000F6D7F"/>
    <w:rsid w:val="000F7C04"/>
    <w:rsid w:val="001008BA"/>
    <w:rsid w:val="00101DFE"/>
    <w:rsid w:val="00102958"/>
    <w:rsid w:val="00103737"/>
    <w:rsid w:val="00105217"/>
    <w:rsid w:val="00107852"/>
    <w:rsid w:val="00110730"/>
    <w:rsid w:val="00110FAB"/>
    <w:rsid w:val="0011430B"/>
    <w:rsid w:val="00114D62"/>
    <w:rsid w:val="00115035"/>
    <w:rsid w:val="001153B9"/>
    <w:rsid w:val="001171F5"/>
    <w:rsid w:val="001200CE"/>
    <w:rsid w:val="001220A4"/>
    <w:rsid w:val="001232A6"/>
    <w:rsid w:val="0012393A"/>
    <w:rsid w:val="00123F1A"/>
    <w:rsid w:val="00125041"/>
    <w:rsid w:val="00126809"/>
    <w:rsid w:val="00126BDE"/>
    <w:rsid w:val="00127203"/>
    <w:rsid w:val="00127344"/>
    <w:rsid w:val="0012762B"/>
    <w:rsid w:val="00127FC8"/>
    <w:rsid w:val="00131193"/>
    <w:rsid w:val="00131AA4"/>
    <w:rsid w:val="0013432D"/>
    <w:rsid w:val="001349A5"/>
    <w:rsid w:val="0013501C"/>
    <w:rsid w:val="001350C8"/>
    <w:rsid w:val="0013590A"/>
    <w:rsid w:val="001362ED"/>
    <w:rsid w:val="00140243"/>
    <w:rsid w:val="00142289"/>
    <w:rsid w:val="00142537"/>
    <w:rsid w:val="00142618"/>
    <w:rsid w:val="001427C1"/>
    <w:rsid w:val="001428DE"/>
    <w:rsid w:val="00142A3F"/>
    <w:rsid w:val="00143F93"/>
    <w:rsid w:val="00144073"/>
    <w:rsid w:val="00144171"/>
    <w:rsid w:val="0014531D"/>
    <w:rsid w:val="00147858"/>
    <w:rsid w:val="001516B3"/>
    <w:rsid w:val="00152C8C"/>
    <w:rsid w:val="001544D2"/>
    <w:rsid w:val="00155ED5"/>
    <w:rsid w:val="00157540"/>
    <w:rsid w:val="00160755"/>
    <w:rsid w:val="001609B1"/>
    <w:rsid w:val="0016251A"/>
    <w:rsid w:val="001625C1"/>
    <w:rsid w:val="0016283A"/>
    <w:rsid w:val="00163084"/>
    <w:rsid w:val="001658DB"/>
    <w:rsid w:val="00165D68"/>
    <w:rsid w:val="00170D2D"/>
    <w:rsid w:val="00171D96"/>
    <w:rsid w:val="00172A27"/>
    <w:rsid w:val="00172F54"/>
    <w:rsid w:val="00173648"/>
    <w:rsid w:val="00174071"/>
    <w:rsid w:val="00174DE8"/>
    <w:rsid w:val="00174FAF"/>
    <w:rsid w:val="00175336"/>
    <w:rsid w:val="00175F62"/>
    <w:rsid w:val="001761D9"/>
    <w:rsid w:val="00176F78"/>
    <w:rsid w:val="00177404"/>
    <w:rsid w:val="00177D22"/>
    <w:rsid w:val="001805E3"/>
    <w:rsid w:val="00180992"/>
    <w:rsid w:val="00180CCB"/>
    <w:rsid w:val="00182EE7"/>
    <w:rsid w:val="00182F83"/>
    <w:rsid w:val="001830B6"/>
    <w:rsid w:val="0018390C"/>
    <w:rsid w:val="001852F4"/>
    <w:rsid w:val="001859FA"/>
    <w:rsid w:val="00186618"/>
    <w:rsid w:val="00186FA5"/>
    <w:rsid w:val="00187D60"/>
    <w:rsid w:val="001904F9"/>
    <w:rsid w:val="0019083F"/>
    <w:rsid w:val="00191AA4"/>
    <w:rsid w:val="001922EA"/>
    <w:rsid w:val="001942EF"/>
    <w:rsid w:val="0019447E"/>
    <w:rsid w:val="0019571A"/>
    <w:rsid w:val="0019704A"/>
    <w:rsid w:val="00197AC9"/>
    <w:rsid w:val="001A00C5"/>
    <w:rsid w:val="001A0641"/>
    <w:rsid w:val="001A10CE"/>
    <w:rsid w:val="001A1D71"/>
    <w:rsid w:val="001A2BF0"/>
    <w:rsid w:val="001A5090"/>
    <w:rsid w:val="001A705E"/>
    <w:rsid w:val="001A7E91"/>
    <w:rsid w:val="001B2067"/>
    <w:rsid w:val="001B216C"/>
    <w:rsid w:val="001B2E68"/>
    <w:rsid w:val="001B5AF4"/>
    <w:rsid w:val="001B63EA"/>
    <w:rsid w:val="001B7CAE"/>
    <w:rsid w:val="001C03CE"/>
    <w:rsid w:val="001C099B"/>
    <w:rsid w:val="001C1E36"/>
    <w:rsid w:val="001C29BE"/>
    <w:rsid w:val="001C2B57"/>
    <w:rsid w:val="001C3FBE"/>
    <w:rsid w:val="001C4C94"/>
    <w:rsid w:val="001C50F8"/>
    <w:rsid w:val="001C57BD"/>
    <w:rsid w:val="001C70DF"/>
    <w:rsid w:val="001D0300"/>
    <w:rsid w:val="001D0B1E"/>
    <w:rsid w:val="001D0C47"/>
    <w:rsid w:val="001D0E7D"/>
    <w:rsid w:val="001D0FD1"/>
    <w:rsid w:val="001D1437"/>
    <w:rsid w:val="001D168F"/>
    <w:rsid w:val="001D2547"/>
    <w:rsid w:val="001D38FC"/>
    <w:rsid w:val="001D3DD7"/>
    <w:rsid w:val="001D423A"/>
    <w:rsid w:val="001D5704"/>
    <w:rsid w:val="001D5A8A"/>
    <w:rsid w:val="001D5BCD"/>
    <w:rsid w:val="001D7676"/>
    <w:rsid w:val="001D77A3"/>
    <w:rsid w:val="001E03C7"/>
    <w:rsid w:val="001E0B14"/>
    <w:rsid w:val="001E3F08"/>
    <w:rsid w:val="001E4F2B"/>
    <w:rsid w:val="001E565C"/>
    <w:rsid w:val="001E56EA"/>
    <w:rsid w:val="001E5E45"/>
    <w:rsid w:val="001E5F5A"/>
    <w:rsid w:val="001E629B"/>
    <w:rsid w:val="001E6AEC"/>
    <w:rsid w:val="001E70DB"/>
    <w:rsid w:val="001F1869"/>
    <w:rsid w:val="001F1EA0"/>
    <w:rsid w:val="001F2563"/>
    <w:rsid w:val="001F2D2D"/>
    <w:rsid w:val="001F382B"/>
    <w:rsid w:val="001F3DD3"/>
    <w:rsid w:val="001F477F"/>
    <w:rsid w:val="001F4B80"/>
    <w:rsid w:val="001F53E5"/>
    <w:rsid w:val="001F71C1"/>
    <w:rsid w:val="0020016C"/>
    <w:rsid w:val="0020194B"/>
    <w:rsid w:val="002025BB"/>
    <w:rsid w:val="00203125"/>
    <w:rsid w:val="00204F21"/>
    <w:rsid w:val="00205024"/>
    <w:rsid w:val="00205D8E"/>
    <w:rsid w:val="002062B8"/>
    <w:rsid w:val="002118D9"/>
    <w:rsid w:val="00211D90"/>
    <w:rsid w:val="00212A5C"/>
    <w:rsid w:val="00212CB0"/>
    <w:rsid w:val="00212DB8"/>
    <w:rsid w:val="002130AA"/>
    <w:rsid w:val="0021377D"/>
    <w:rsid w:val="00214677"/>
    <w:rsid w:val="00214F60"/>
    <w:rsid w:val="00215226"/>
    <w:rsid w:val="00215723"/>
    <w:rsid w:val="00215F20"/>
    <w:rsid w:val="0021617B"/>
    <w:rsid w:val="0021659E"/>
    <w:rsid w:val="00216C09"/>
    <w:rsid w:val="00216CDE"/>
    <w:rsid w:val="00216E0D"/>
    <w:rsid w:val="00217C6B"/>
    <w:rsid w:val="00221615"/>
    <w:rsid w:val="002226E6"/>
    <w:rsid w:val="00223364"/>
    <w:rsid w:val="00223901"/>
    <w:rsid w:val="00223A66"/>
    <w:rsid w:val="00223D47"/>
    <w:rsid w:val="00224C4C"/>
    <w:rsid w:val="00224FD2"/>
    <w:rsid w:val="002254A2"/>
    <w:rsid w:val="002257E0"/>
    <w:rsid w:val="002260A8"/>
    <w:rsid w:val="00226640"/>
    <w:rsid w:val="00226E85"/>
    <w:rsid w:val="00230FAB"/>
    <w:rsid w:val="0023120B"/>
    <w:rsid w:val="0023149A"/>
    <w:rsid w:val="00231C5F"/>
    <w:rsid w:val="00233144"/>
    <w:rsid w:val="002334B5"/>
    <w:rsid w:val="00233BDA"/>
    <w:rsid w:val="0023510D"/>
    <w:rsid w:val="002355DC"/>
    <w:rsid w:val="0023619B"/>
    <w:rsid w:val="002376AE"/>
    <w:rsid w:val="002376D2"/>
    <w:rsid w:val="00237D06"/>
    <w:rsid w:val="00237D5F"/>
    <w:rsid w:val="00237E76"/>
    <w:rsid w:val="0024121B"/>
    <w:rsid w:val="00241506"/>
    <w:rsid w:val="0024173B"/>
    <w:rsid w:val="00242EF1"/>
    <w:rsid w:val="002445C8"/>
    <w:rsid w:val="00244938"/>
    <w:rsid w:val="00244C58"/>
    <w:rsid w:val="0024512C"/>
    <w:rsid w:val="00245527"/>
    <w:rsid w:val="00246A34"/>
    <w:rsid w:val="00246BFD"/>
    <w:rsid w:val="00246DC7"/>
    <w:rsid w:val="00247390"/>
    <w:rsid w:val="00247454"/>
    <w:rsid w:val="00247E5B"/>
    <w:rsid w:val="0025679F"/>
    <w:rsid w:val="002569E6"/>
    <w:rsid w:val="00257449"/>
    <w:rsid w:val="00257A98"/>
    <w:rsid w:val="00260745"/>
    <w:rsid w:val="00260A7B"/>
    <w:rsid w:val="00261F1F"/>
    <w:rsid w:val="002628D6"/>
    <w:rsid w:val="0026291B"/>
    <w:rsid w:val="002634E8"/>
    <w:rsid w:val="00264639"/>
    <w:rsid w:val="00265277"/>
    <w:rsid w:val="00265F10"/>
    <w:rsid w:val="00266899"/>
    <w:rsid w:val="00271666"/>
    <w:rsid w:val="002717C5"/>
    <w:rsid w:val="00272694"/>
    <w:rsid w:val="00272758"/>
    <w:rsid w:val="00274C78"/>
    <w:rsid w:val="002757F3"/>
    <w:rsid w:val="00276717"/>
    <w:rsid w:val="00277D63"/>
    <w:rsid w:val="00280EAD"/>
    <w:rsid w:val="002820F5"/>
    <w:rsid w:val="00282AAA"/>
    <w:rsid w:val="00284A35"/>
    <w:rsid w:val="00286416"/>
    <w:rsid w:val="002864C3"/>
    <w:rsid w:val="00286D6A"/>
    <w:rsid w:val="0028746D"/>
    <w:rsid w:val="00287BEF"/>
    <w:rsid w:val="0029033B"/>
    <w:rsid w:val="002912EC"/>
    <w:rsid w:val="00292D08"/>
    <w:rsid w:val="00295406"/>
    <w:rsid w:val="002A0A1D"/>
    <w:rsid w:val="002A14EA"/>
    <w:rsid w:val="002A2FF6"/>
    <w:rsid w:val="002A3DC5"/>
    <w:rsid w:val="002A4658"/>
    <w:rsid w:val="002A4F3C"/>
    <w:rsid w:val="002A5290"/>
    <w:rsid w:val="002A5B9E"/>
    <w:rsid w:val="002A668A"/>
    <w:rsid w:val="002A7C6C"/>
    <w:rsid w:val="002B0186"/>
    <w:rsid w:val="002B0FF3"/>
    <w:rsid w:val="002B10F4"/>
    <w:rsid w:val="002B2983"/>
    <w:rsid w:val="002B2B5A"/>
    <w:rsid w:val="002B4D6A"/>
    <w:rsid w:val="002B5AF9"/>
    <w:rsid w:val="002B78AC"/>
    <w:rsid w:val="002B7CD2"/>
    <w:rsid w:val="002C02F6"/>
    <w:rsid w:val="002C279E"/>
    <w:rsid w:val="002C30EB"/>
    <w:rsid w:val="002C63C7"/>
    <w:rsid w:val="002C715D"/>
    <w:rsid w:val="002D2084"/>
    <w:rsid w:val="002D32A1"/>
    <w:rsid w:val="002D57D9"/>
    <w:rsid w:val="002D64D0"/>
    <w:rsid w:val="002E1A39"/>
    <w:rsid w:val="002E2C66"/>
    <w:rsid w:val="002E2FB1"/>
    <w:rsid w:val="002E3690"/>
    <w:rsid w:val="002E52FC"/>
    <w:rsid w:val="002E5F6E"/>
    <w:rsid w:val="002E66AD"/>
    <w:rsid w:val="002E6869"/>
    <w:rsid w:val="002E7983"/>
    <w:rsid w:val="002F006B"/>
    <w:rsid w:val="002F106D"/>
    <w:rsid w:val="002F161A"/>
    <w:rsid w:val="002F1B9B"/>
    <w:rsid w:val="002F22AA"/>
    <w:rsid w:val="002F4F4C"/>
    <w:rsid w:val="003032A4"/>
    <w:rsid w:val="003038BF"/>
    <w:rsid w:val="00306EBE"/>
    <w:rsid w:val="00307882"/>
    <w:rsid w:val="00307E8F"/>
    <w:rsid w:val="00310AEA"/>
    <w:rsid w:val="00311BCF"/>
    <w:rsid w:val="0031245E"/>
    <w:rsid w:val="00316379"/>
    <w:rsid w:val="00316C89"/>
    <w:rsid w:val="00317FD4"/>
    <w:rsid w:val="0032019D"/>
    <w:rsid w:val="0032347C"/>
    <w:rsid w:val="00323A4D"/>
    <w:rsid w:val="00323D95"/>
    <w:rsid w:val="00323FFA"/>
    <w:rsid w:val="00324835"/>
    <w:rsid w:val="00324B68"/>
    <w:rsid w:val="00324F58"/>
    <w:rsid w:val="00325D7D"/>
    <w:rsid w:val="00326879"/>
    <w:rsid w:val="00327814"/>
    <w:rsid w:val="00327B3F"/>
    <w:rsid w:val="003312F5"/>
    <w:rsid w:val="00332258"/>
    <w:rsid w:val="003324CB"/>
    <w:rsid w:val="00332646"/>
    <w:rsid w:val="00332C02"/>
    <w:rsid w:val="00333841"/>
    <w:rsid w:val="00333E21"/>
    <w:rsid w:val="00333FD8"/>
    <w:rsid w:val="003345D2"/>
    <w:rsid w:val="0033496C"/>
    <w:rsid w:val="00335673"/>
    <w:rsid w:val="00335FDC"/>
    <w:rsid w:val="00336E23"/>
    <w:rsid w:val="003378D2"/>
    <w:rsid w:val="003410BB"/>
    <w:rsid w:val="00341A89"/>
    <w:rsid w:val="003434AE"/>
    <w:rsid w:val="00343C23"/>
    <w:rsid w:val="00343D76"/>
    <w:rsid w:val="00345A0E"/>
    <w:rsid w:val="003466EE"/>
    <w:rsid w:val="00346715"/>
    <w:rsid w:val="0034678C"/>
    <w:rsid w:val="00346E27"/>
    <w:rsid w:val="00347584"/>
    <w:rsid w:val="00351D4D"/>
    <w:rsid w:val="00352553"/>
    <w:rsid w:val="00352F6E"/>
    <w:rsid w:val="00353E9A"/>
    <w:rsid w:val="00356693"/>
    <w:rsid w:val="00356D37"/>
    <w:rsid w:val="003600FC"/>
    <w:rsid w:val="003610D8"/>
    <w:rsid w:val="003627A8"/>
    <w:rsid w:val="00362D86"/>
    <w:rsid w:val="00363ABE"/>
    <w:rsid w:val="0036594E"/>
    <w:rsid w:val="003669F4"/>
    <w:rsid w:val="00367C30"/>
    <w:rsid w:val="00370FE6"/>
    <w:rsid w:val="00371AFB"/>
    <w:rsid w:val="00371C11"/>
    <w:rsid w:val="00371FAB"/>
    <w:rsid w:val="003736FA"/>
    <w:rsid w:val="0037489F"/>
    <w:rsid w:val="00374F79"/>
    <w:rsid w:val="00376427"/>
    <w:rsid w:val="0037757C"/>
    <w:rsid w:val="00377641"/>
    <w:rsid w:val="003807B3"/>
    <w:rsid w:val="00380B6B"/>
    <w:rsid w:val="00380C30"/>
    <w:rsid w:val="00380DF2"/>
    <w:rsid w:val="00382720"/>
    <w:rsid w:val="00382C1B"/>
    <w:rsid w:val="00382E4E"/>
    <w:rsid w:val="00385FC1"/>
    <w:rsid w:val="00386A78"/>
    <w:rsid w:val="00386AFA"/>
    <w:rsid w:val="00386F58"/>
    <w:rsid w:val="00390063"/>
    <w:rsid w:val="003912A6"/>
    <w:rsid w:val="00392D6A"/>
    <w:rsid w:val="00393EF4"/>
    <w:rsid w:val="00394207"/>
    <w:rsid w:val="00394872"/>
    <w:rsid w:val="00396F6E"/>
    <w:rsid w:val="003978BF"/>
    <w:rsid w:val="003979FC"/>
    <w:rsid w:val="003A1ED5"/>
    <w:rsid w:val="003A263E"/>
    <w:rsid w:val="003A2BF6"/>
    <w:rsid w:val="003A31DD"/>
    <w:rsid w:val="003A33A8"/>
    <w:rsid w:val="003A477A"/>
    <w:rsid w:val="003A6338"/>
    <w:rsid w:val="003A747D"/>
    <w:rsid w:val="003B00D8"/>
    <w:rsid w:val="003B12AB"/>
    <w:rsid w:val="003B1AD4"/>
    <w:rsid w:val="003B1FF9"/>
    <w:rsid w:val="003B2735"/>
    <w:rsid w:val="003B3176"/>
    <w:rsid w:val="003B34E2"/>
    <w:rsid w:val="003B389B"/>
    <w:rsid w:val="003B4550"/>
    <w:rsid w:val="003B53F1"/>
    <w:rsid w:val="003B5913"/>
    <w:rsid w:val="003B6DC4"/>
    <w:rsid w:val="003B6FB6"/>
    <w:rsid w:val="003B7046"/>
    <w:rsid w:val="003B712E"/>
    <w:rsid w:val="003B78E9"/>
    <w:rsid w:val="003C04EA"/>
    <w:rsid w:val="003C11A8"/>
    <w:rsid w:val="003C1873"/>
    <w:rsid w:val="003C52E7"/>
    <w:rsid w:val="003C5830"/>
    <w:rsid w:val="003C595D"/>
    <w:rsid w:val="003C6246"/>
    <w:rsid w:val="003C71E4"/>
    <w:rsid w:val="003C7CF1"/>
    <w:rsid w:val="003D058D"/>
    <w:rsid w:val="003D1E8D"/>
    <w:rsid w:val="003D280A"/>
    <w:rsid w:val="003D29C4"/>
    <w:rsid w:val="003D331A"/>
    <w:rsid w:val="003D4AFB"/>
    <w:rsid w:val="003D5362"/>
    <w:rsid w:val="003D54FA"/>
    <w:rsid w:val="003D5C27"/>
    <w:rsid w:val="003D6E0F"/>
    <w:rsid w:val="003E1282"/>
    <w:rsid w:val="003E246B"/>
    <w:rsid w:val="003E3F3B"/>
    <w:rsid w:val="003E4080"/>
    <w:rsid w:val="003E4ED9"/>
    <w:rsid w:val="003E5261"/>
    <w:rsid w:val="003E5598"/>
    <w:rsid w:val="003E560D"/>
    <w:rsid w:val="003F083B"/>
    <w:rsid w:val="003F284A"/>
    <w:rsid w:val="003F3818"/>
    <w:rsid w:val="003F3C0A"/>
    <w:rsid w:val="003F47E1"/>
    <w:rsid w:val="003F4A01"/>
    <w:rsid w:val="003F7070"/>
    <w:rsid w:val="003F7BA9"/>
    <w:rsid w:val="00400B42"/>
    <w:rsid w:val="004012DE"/>
    <w:rsid w:val="0040202B"/>
    <w:rsid w:val="004024A6"/>
    <w:rsid w:val="004025F8"/>
    <w:rsid w:val="00403505"/>
    <w:rsid w:val="0040421F"/>
    <w:rsid w:val="0040432B"/>
    <w:rsid w:val="00405AAF"/>
    <w:rsid w:val="00406272"/>
    <w:rsid w:val="004071C0"/>
    <w:rsid w:val="00410266"/>
    <w:rsid w:val="00410C87"/>
    <w:rsid w:val="00410D91"/>
    <w:rsid w:val="00411618"/>
    <w:rsid w:val="00412608"/>
    <w:rsid w:val="00412C42"/>
    <w:rsid w:val="004150E3"/>
    <w:rsid w:val="0041593E"/>
    <w:rsid w:val="00415DA3"/>
    <w:rsid w:val="00417BDF"/>
    <w:rsid w:val="00421042"/>
    <w:rsid w:val="004215BB"/>
    <w:rsid w:val="00422634"/>
    <w:rsid w:val="004227F3"/>
    <w:rsid w:val="00424124"/>
    <w:rsid w:val="00425A44"/>
    <w:rsid w:val="004264E3"/>
    <w:rsid w:val="0042685B"/>
    <w:rsid w:val="00427EFD"/>
    <w:rsid w:val="004304D5"/>
    <w:rsid w:val="004304F3"/>
    <w:rsid w:val="004306CA"/>
    <w:rsid w:val="004331E9"/>
    <w:rsid w:val="004335BA"/>
    <w:rsid w:val="00433922"/>
    <w:rsid w:val="0043497B"/>
    <w:rsid w:val="00435812"/>
    <w:rsid w:val="00437E46"/>
    <w:rsid w:val="00440555"/>
    <w:rsid w:val="00441337"/>
    <w:rsid w:val="00441999"/>
    <w:rsid w:val="00441BB4"/>
    <w:rsid w:val="00442030"/>
    <w:rsid w:val="00442510"/>
    <w:rsid w:val="00442E72"/>
    <w:rsid w:val="004433E7"/>
    <w:rsid w:val="004448A1"/>
    <w:rsid w:val="00446C68"/>
    <w:rsid w:val="00446E58"/>
    <w:rsid w:val="00447397"/>
    <w:rsid w:val="004503D4"/>
    <w:rsid w:val="004507C3"/>
    <w:rsid w:val="0045167E"/>
    <w:rsid w:val="00452B90"/>
    <w:rsid w:val="00452CBB"/>
    <w:rsid w:val="00454EC3"/>
    <w:rsid w:val="00455262"/>
    <w:rsid w:val="004617C4"/>
    <w:rsid w:val="00461AF0"/>
    <w:rsid w:val="004622D3"/>
    <w:rsid w:val="0046305E"/>
    <w:rsid w:val="00465B27"/>
    <w:rsid w:val="00467383"/>
    <w:rsid w:val="00467885"/>
    <w:rsid w:val="004713C0"/>
    <w:rsid w:val="004716B8"/>
    <w:rsid w:val="00471D70"/>
    <w:rsid w:val="0047224E"/>
    <w:rsid w:val="00472DC2"/>
    <w:rsid w:val="00472F13"/>
    <w:rsid w:val="004744EF"/>
    <w:rsid w:val="004758B7"/>
    <w:rsid w:val="00475CBB"/>
    <w:rsid w:val="00477937"/>
    <w:rsid w:val="00477FF9"/>
    <w:rsid w:val="004800D8"/>
    <w:rsid w:val="00481798"/>
    <w:rsid w:val="00481C6E"/>
    <w:rsid w:val="00481FD4"/>
    <w:rsid w:val="0048212F"/>
    <w:rsid w:val="00482B0D"/>
    <w:rsid w:val="00482E73"/>
    <w:rsid w:val="004834A7"/>
    <w:rsid w:val="00490059"/>
    <w:rsid w:val="004904F1"/>
    <w:rsid w:val="00490684"/>
    <w:rsid w:val="004910DD"/>
    <w:rsid w:val="00491727"/>
    <w:rsid w:val="00491C72"/>
    <w:rsid w:val="00492432"/>
    <w:rsid w:val="00492873"/>
    <w:rsid w:val="00492A75"/>
    <w:rsid w:val="00492B8E"/>
    <w:rsid w:val="00492F0E"/>
    <w:rsid w:val="0049600E"/>
    <w:rsid w:val="004974C4"/>
    <w:rsid w:val="0049765C"/>
    <w:rsid w:val="00497C0B"/>
    <w:rsid w:val="004A08F4"/>
    <w:rsid w:val="004A0BDF"/>
    <w:rsid w:val="004A0DF4"/>
    <w:rsid w:val="004A1231"/>
    <w:rsid w:val="004A1337"/>
    <w:rsid w:val="004A3E83"/>
    <w:rsid w:val="004A66A3"/>
    <w:rsid w:val="004A7888"/>
    <w:rsid w:val="004A7B51"/>
    <w:rsid w:val="004A7DCC"/>
    <w:rsid w:val="004B0BD3"/>
    <w:rsid w:val="004B0F02"/>
    <w:rsid w:val="004B16E5"/>
    <w:rsid w:val="004B1744"/>
    <w:rsid w:val="004B31A3"/>
    <w:rsid w:val="004B3411"/>
    <w:rsid w:val="004B3704"/>
    <w:rsid w:val="004B37DF"/>
    <w:rsid w:val="004B3927"/>
    <w:rsid w:val="004B5323"/>
    <w:rsid w:val="004B6116"/>
    <w:rsid w:val="004B683C"/>
    <w:rsid w:val="004B7415"/>
    <w:rsid w:val="004C02AE"/>
    <w:rsid w:val="004C02FD"/>
    <w:rsid w:val="004C169F"/>
    <w:rsid w:val="004C2F67"/>
    <w:rsid w:val="004C396F"/>
    <w:rsid w:val="004C4EE1"/>
    <w:rsid w:val="004C5284"/>
    <w:rsid w:val="004C5326"/>
    <w:rsid w:val="004C53DB"/>
    <w:rsid w:val="004C557A"/>
    <w:rsid w:val="004C558E"/>
    <w:rsid w:val="004C5F1D"/>
    <w:rsid w:val="004C7054"/>
    <w:rsid w:val="004C7C38"/>
    <w:rsid w:val="004D1069"/>
    <w:rsid w:val="004D24E0"/>
    <w:rsid w:val="004D2501"/>
    <w:rsid w:val="004D2CBB"/>
    <w:rsid w:val="004D4217"/>
    <w:rsid w:val="004D45E5"/>
    <w:rsid w:val="004D46EF"/>
    <w:rsid w:val="004D6812"/>
    <w:rsid w:val="004E0A9A"/>
    <w:rsid w:val="004E3771"/>
    <w:rsid w:val="004E3965"/>
    <w:rsid w:val="004E3CA6"/>
    <w:rsid w:val="004E3CBD"/>
    <w:rsid w:val="004E3FEE"/>
    <w:rsid w:val="004E4825"/>
    <w:rsid w:val="004E5ABA"/>
    <w:rsid w:val="004E5F9B"/>
    <w:rsid w:val="004E617B"/>
    <w:rsid w:val="004E723E"/>
    <w:rsid w:val="004E7F40"/>
    <w:rsid w:val="004F2460"/>
    <w:rsid w:val="004F2954"/>
    <w:rsid w:val="004F3BB0"/>
    <w:rsid w:val="004F5778"/>
    <w:rsid w:val="004F61E6"/>
    <w:rsid w:val="004F63AB"/>
    <w:rsid w:val="004F71B1"/>
    <w:rsid w:val="00500005"/>
    <w:rsid w:val="00500148"/>
    <w:rsid w:val="0050058A"/>
    <w:rsid w:val="00500724"/>
    <w:rsid w:val="00501475"/>
    <w:rsid w:val="00502A23"/>
    <w:rsid w:val="00502E11"/>
    <w:rsid w:val="005031A3"/>
    <w:rsid w:val="0050336C"/>
    <w:rsid w:val="00503527"/>
    <w:rsid w:val="005049FA"/>
    <w:rsid w:val="005052C2"/>
    <w:rsid w:val="00505F71"/>
    <w:rsid w:val="00506A84"/>
    <w:rsid w:val="005079FE"/>
    <w:rsid w:val="00507B44"/>
    <w:rsid w:val="0051068A"/>
    <w:rsid w:val="0051176E"/>
    <w:rsid w:val="00511FA5"/>
    <w:rsid w:val="00512889"/>
    <w:rsid w:val="00515EF8"/>
    <w:rsid w:val="0051682C"/>
    <w:rsid w:val="00516D6C"/>
    <w:rsid w:val="00517061"/>
    <w:rsid w:val="00520156"/>
    <w:rsid w:val="0052260A"/>
    <w:rsid w:val="0052294B"/>
    <w:rsid w:val="00523151"/>
    <w:rsid w:val="00523C0D"/>
    <w:rsid w:val="00524616"/>
    <w:rsid w:val="005248B8"/>
    <w:rsid w:val="005262BD"/>
    <w:rsid w:val="005267A7"/>
    <w:rsid w:val="00526AF6"/>
    <w:rsid w:val="00527F2C"/>
    <w:rsid w:val="00530493"/>
    <w:rsid w:val="005305BD"/>
    <w:rsid w:val="005309D4"/>
    <w:rsid w:val="005314BC"/>
    <w:rsid w:val="00531BF0"/>
    <w:rsid w:val="005329AF"/>
    <w:rsid w:val="00532C1A"/>
    <w:rsid w:val="00533927"/>
    <w:rsid w:val="00534BF5"/>
    <w:rsid w:val="005350A3"/>
    <w:rsid w:val="00535AD0"/>
    <w:rsid w:val="00536931"/>
    <w:rsid w:val="005369CC"/>
    <w:rsid w:val="00536C09"/>
    <w:rsid w:val="005378FE"/>
    <w:rsid w:val="00540097"/>
    <w:rsid w:val="00543627"/>
    <w:rsid w:val="0054367C"/>
    <w:rsid w:val="00543C47"/>
    <w:rsid w:val="00545406"/>
    <w:rsid w:val="005463BD"/>
    <w:rsid w:val="00547328"/>
    <w:rsid w:val="0054772C"/>
    <w:rsid w:val="00551115"/>
    <w:rsid w:val="0055125A"/>
    <w:rsid w:val="00551305"/>
    <w:rsid w:val="005513A3"/>
    <w:rsid w:val="00551F11"/>
    <w:rsid w:val="0055226B"/>
    <w:rsid w:val="005545A6"/>
    <w:rsid w:val="00555147"/>
    <w:rsid w:val="005610D5"/>
    <w:rsid w:val="00561395"/>
    <w:rsid w:val="00561A82"/>
    <w:rsid w:val="00563187"/>
    <w:rsid w:val="005639C6"/>
    <w:rsid w:val="00563D79"/>
    <w:rsid w:val="005663AE"/>
    <w:rsid w:val="00570047"/>
    <w:rsid w:val="0057014A"/>
    <w:rsid w:val="00571020"/>
    <w:rsid w:val="00571491"/>
    <w:rsid w:val="00571492"/>
    <w:rsid w:val="005732C7"/>
    <w:rsid w:val="00576E17"/>
    <w:rsid w:val="00581039"/>
    <w:rsid w:val="005825D6"/>
    <w:rsid w:val="00583688"/>
    <w:rsid w:val="00583F69"/>
    <w:rsid w:val="00584A48"/>
    <w:rsid w:val="00590007"/>
    <w:rsid w:val="00590420"/>
    <w:rsid w:val="00591B25"/>
    <w:rsid w:val="0059235A"/>
    <w:rsid w:val="005960E6"/>
    <w:rsid w:val="00596655"/>
    <w:rsid w:val="00596782"/>
    <w:rsid w:val="00597608"/>
    <w:rsid w:val="00597B69"/>
    <w:rsid w:val="00597F4B"/>
    <w:rsid w:val="005A0D67"/>
    <w:rsid w:val="005A1936"/>
    <w:rsid w:val="005A1F95"/>
    <w:rsid w:val="005A3065"/>
    <w:rsid w:val="005A318D"/>
    <w:rsid w:val="005A39F3"/>
    <w:rsid w:val="005A3C73"/>
    <w:rsid w:val="005A50F0"/>
    <w:rsid w:val="005A6CD1"/>
    <w:rsid w:val="005A6EA3"/>
    <w:rsid w:val="005B2816"/>
    <w:rsid w:val="005B4505"/>
    <w:rsid w:val="005B4E0A"/>
    <w:rsid w:val="005B55BF"/>
    <w:rsid w:val="005B569F"/>
    <w:rsid w:val="005B5791"/>
    <w:rsid w:val="005B713D"/>
    <w:rsid w:val="005B7176"/>
    <w:rsid w:val="005C041A"/>
    <w:rsid w:val="005C07FB"/>
    <w:rsid w:val="005C184D"/>
    <w:rsid w:val="005C2F1D"/>
    <w:rsid w:val="005C4391"/>
    <w:rsid w:val="005C51E4"/>
    <w:rsid w:val="005C7DD3"/>
    <w:rsid w:val="005D0F2A"/>
    <w:rsid w:val="005D1441"/>
    <w:rsid w:val="005D2C77"/>
    <w:rsid w:val="005D2F34"/>
    <w:rsid w:val="005D3E20"/>
    <w:rsid w:val="005D3FB8"/>
    <w:rsid w:val="005D698C"/>
    <w:rsid w:val="005E0C5E"/>
    <w:rsid w:val="005E0F60"/>
    <w:rsid w:val="005E0FD8"/>
    <w:rsid w:val="005E2C66"/>
    <w:rsid w:val="005E3B53"/>
    <w:rsid w:val="005E441F"/>
    <w:rsid w:val="005E47C6"/>
    <w:rsid w:val="005E4D69"/>
    <w:rsid w:val="005E4E13"/>
    <w:rsid w:val="005E7506"/>
    <w:rsid w:val="005E7DF6"/>
    <w:rsid w:val="005F02F8"/>
    <w:rsid w:val="005F0303"/>
    <w:rsid w:val="005F0582"/>
    <w:rsid w:val="005F1FC9"/>
    <w:rsid w:val="005F2916"/>
    <w:rsid w:val="005F53EA"/>
    <w:rsid w:val="005F5A2F"/>
    <w:rsid w:val="005F5F15"/>
    <w:rsid w:val="005F60BC"/>
    <w:rsid w:val="005F65C7"/>
    <w:rsid w:val="005F67A6"/>
    <w:rsid w:val="005F6A63"/>
    <w:rsid w:val="005F6D98"/>
    <w:rsid w:val="005F7EC1"/>
    <w:rsid w:val="0060098B"/>
    <w:rsid w:val="00601044"/>
    <w:rsid w:val="00601994"/>
    <w:rsid w:val="00602024"/>
    <w:rsid w:val="006027F1"/>
    <w:rsid w:val="00603161"/>
    <w:rsid w:val="006032E7"/>
    <w:rsid w:val="00603D05"/>
    <w:rsid w:val="0060406C"/>
    <w:rsid w:val="00604082"/>
    <w:rsid w:val="00605B0C"/>
    <w:rsid w:val="00605B69"/>
    <w:rsid w:val="00605C99"/>
    <w:rsid w:val="00607C6D"/>
    <w:rsid w:val="0061062B"/>
    <w:rsid w:val="00610E80"/>
    <w:rsid w:val="006127FF"/>
    <w:rsid w:val="0061334E"/>
    <w:rsid w:val="0061418E"/>
    <w:rsid w:val="00615251"/>
    <w:rsid w:val="006170B1"/>
    <w:rsid w:val="00620F27"/>
    <w:rsid w:val="00621CCF"/>
    <w:rsid w:val="00623496"/>
    <w:rsid w:val="0062392A"/>
    <w:rsid w:val="00623F00"/>
    <w:rsid w:val="006243B8"/>
    <w:rsid w:val="00625053"/>
    <w:rsid w:val="00626832"/>
    <w:rsid w:val="00627AC4"/>
    <w:rsid w:val="00627EDD"/>
    <w:rsid w:val="00627F71"/>
    <w:rsid w:val="00631A86"/>
    <w:rsid w:val="006347AA"/>
    <w:rsid w:val="00636287"/>
    <w:rsid w:val="006405B8"/>
    <w:rsid w:val="0064199E"/>
    <w:rsid w:val="00641E50"/>
    <w:rsid w:val="00643066"/>
    <w:rsid w:val="00643967"/>
    <w:rsid w:val="00643C35"/>
    <w:rsid w:val="0064591B"/>
    <w:rsid w:val="006460D8"/>
    <w:rsid w:val="00647516"/>
    <w:rsid w:val="006477CF"/>
    <w:rsid w:val="00650D07"/>
    <w:rsid w:val="0065196B"/>
    <w:rsid w:val="00651DD8"/>
    <w:rsid w:val="0065550B"/>
    <w:rsid w:val="0065551A"/>
    <w:rsid w:val="006555F9"/>
    <w:rsid w:val="006558D5"/>
    <w:rsid w:val="006560CF"/>
    <w:rsid w:val="00656AC4"/>
    <w:rsid w:val="00656EE8"/>
    <w:rsid w:val="00657107"/>
    <w:rsid w:val="00657AA0"/>
    <w:rsid w:val="00660385"/>
    <w:rsid w:val="00660572"/>
    <w:rsid w:val="00660C7D"/>
    <w:rsid w:val="006613B1"/>
    <w:rsid w:val="0066253E"/>
    <w:rsid w:val="00662F5E"/>
    <w:rsid w:val="00664A8C"/>
    <w:rsid w:val="0066503B"/>
    <w:rsid w:val="00666184"/>
    <w:rsid w:val="00666355"/>
    <w:rsid w:val="00666589"/>
    <w:rsid w:val="0067193B"/>
    <w:rsid w:val="0067194F"/>
    <w:rsid w:val="006721BE"/>
    <w:rsid w:val="00672B46"/>
    <w:rsid w:val="00673F07"/>
    <w:rsid w:val="00675ABB"/>
    <w:rsid w:val="00676805"/>
    <w:rsid w:val="006771DD"/>
    <w:rsid w:val="00680742"/>
    <w:rsid w:val="006825AB"/>
    <w:rsid w:val="0068365B"/>
    <w:rsid w:val="006837A5"/>
    <w:rsid w:val="00684B18"/>
    <w:rsid w:val="00684E05"/>
    <w:rsid w:val="00686527"/>
    <w:rsid w:val="006866E9"/>
    <w:rsid w:val="00686FCA"/>
    <w:rsid w:val="00687CC9"/>
    <w:rsid w:val="00687ED2"/>
    <w:rsid w:val="00690116"/>
    <w:rsid w:val="00690296"/>
    <w:rsid w:val="006908DB"/>
    <w:rsid w:val="00690DAE"/>
    <w:rsid w:val="00690F7E"/>
    <w:rsid w:val="0069112E"/>
    <w:rsid w:val="00692CDA"/>
    <w:rsid w:val="00692F80"/>
    <w:rsid w:val="00693036"/>
    <w:rsid w:val="006962CD"/>
    <w:rsid w:val="00696940"/>
    <w:rsid w:val="0069776C"/>
    <w:rsid w:val="006A0E5B"/>
    <w:rsid w:val="006A181E"/>
    <w:rsid w:val="006A3B1A"/>
    <w:rsid w:val="006A3F7C"/>
    <w:rsid w:val="006A4E29"/>
    <w:rsid w:val="006A5286"/>
    <w:rsid w:val="006A6AEE"/>
    <w:rsid w:val="006A78E0"/>
    <w:rsid w:val="006B0067"/>
    <w:rsid w:val="006B1514"/>
    <w:rsid w:val="006B1900"/>
    <w:rsid w:val="006B1E57"/>
    <w:rsid w:val="006B22AE"/>
    <w:rsid w:val="006B2582"/>
    <w:rsid w:val="006B3ECF"/>
    <w:rsid w:val="006B4609"/>
    <w:rsid w:val="006B604C"/>
    <w:rsid w:val="006B6929"/>
    <w:rsid w:val="006B7A5C"/>
    <w:rsid w:val="006B7F37"/>
    <w:rsid w:val="006C0198"/>
    <w:rsid w:val="006C04DD"/>
    <w:rsid w:val="006C1191"/>
    <w:rsid w:val="006C1A74"/>
    <w:rsid w:val="006C201C"/>
    <w:rsid w:val="006C4065"/>
    <w:rsid w:val="006C5B95"/>
    <w:rsid w:val="006C6B1A"/>
    <w:rsid w:val="006C7FF2"/>
    <w:rsid w:val="006D0E08"/>
    <w:rsid w:val="006D419A"/>
    <w:rsid w:val="006D4F37"/>
    <w:rsid w:val="006D5877"/>
    <w:rsid w:val="006D591E"/>
    <w:rsid w:val="006D5D99"/>
    <w:rsid w:val="006D6240"/>
    <w:rsid w:val="006D6358"/>
    <w:rsid w:val="006D6A06"/>
    <w:rsid w:val="006D7208"/>
    <w:rsid w:val="006D7B90"/>
    <w:rsid w:val="006E0553"/>
    <w:rsid w:val="006E0CEC"/>
    <w:rsid w:val="006E1D9C"/>
    <w:rsid w:val="006E4B42"/>
    <w:rsid w:val="006E4CF7"/>
    <w:rsid w:val="006E5C84"/>
    <w:rsid w:val="006E60F6"/>
    <w:rsid w:val="006E624B"/>
    <w:rsid w:val="006E6433"/>
    <w:rsid w:val="006E7359"/>
    <w:rsid w:val="006E7AEA"/>
    <w:rsid w:val="006E7C00"/>
    <w:rsid w:val="006E7F58"/>
    <w:rsid w:val="006F002E"/>
    <w:rsid w:val="006F2291"/>
    <w:rsid w:val="006F2C20"/>
    <w:rsid w:val="006F4C83"/>
    <w:rsid w:val="006F7935"/>
    <w:rsid w:val="0070003A"/>
    <w:rsid w:val="007005D6"/>
    <w:rsid w:val="00700620"/>
    <w:rsid w:val="00700BC1"/>
    <w:rsid w:val="00702A67"/>
    <w:rsid w:val="00702B2A"/>
    <w:rsid w:val="0070336A"/>
    <w:rsid w:val="00703B0E"/>
    <w:rsid w:val="00704723"/>
    <w:rsid w:val="00705772"/>
    <w:rsid w:val="00705C64"/>
    <w:rsid w:val="007071A1"/>
    <w:rsid w:val="00710145"/>
    <w:rsid w:val="00710EBB"/>
    <w:rsid w:val="0071193C"/>
    <w:rsid w:val="00712604"/>
    <w:rsid w:val="00712BE5"/>
    <w:rsid w:val="007142F1"/>
    <w:rsid w:val="00714659"/>
    <w:rsid w:val="007177FA"/>
    <w:rsid w:val="00717EEE"/>
    <w:rsid w:val="007201E9"/>
    <w:rsid w:val="00720ADF"/>
    <w:rsid w:val="00721574"/>
    <w:rsid w:val="00721CFD"/>
    <w:rsid w:val="00723ADE"/>
    <w:rsid w:val="00723BE7"/>
    <w:rsid w:val="0072414F"/>
    <w:rsid w:val="00725836"/>
    <w:rsid w:val="00726105"/>
    <w:rsid w:val="00726527"/>
    <w:rsid w:val="00726975"/>
    <w:rsid w:val="00727170"/>
    <w:rsid w:val="0072781F"/>
    <w:rsid w:val="00730179"/>
    <w:rsid w:val="00730A83"/>
    <w:rsid w:val="00731174"/>
    <w:rsid w:val="00732A0C"/>
    <w:rsid w:val="00732EAE"/>
    <w:rsid w:val="00733E52"/>
    <w:rsid w:val="007345BE"/>
    <w:rsid w:val="00734DBF"/>
    <w:rsid w:val="00734DE6"/>
    <w:rsid w:val="0073525F"/>
    <w:rsid w:val="00736C96"/>
    <w:rsid w:val="00736DFC"/>
    <w:rsid w:val="00737C28"/>
    <w:rsid w:val="00740AB9"/>
    <w:rsid w:val="00741354"/>
    <w:rsid w:val="0074223B"/>
    <w:rsid w:val="0074243C"/>
    <w:rsid w:val="0074593C"/>
    <w:rsid w:val="00746023"/>
    <w:rsid w:val="007477F3"/>
    <w:rsid w:val="00747EDC"/>
    <w:rsid w:val="007506DF"/>
    <w:rsid w:val="00751592"/>
    <w:rsid w:val="00753895"/>
    <w:rsid w:val="0075487E"/>
    <w:rsid w:val="0075592A"/>
    <w:rsid w:val="00755EE6"/>
    <w:rsid w:val="0075603F"/>
    <w:rsid w:val="00756CC2"/>
    <w:rsid w:val="00760511"/>
    <w:rsid w:val="00760FBB"/>
    <w:rsid w:val="00761F21"/>
    <w:rsid w:val="0076237F"/>
    <w:rsid w:val="007623B7"/>
    <w:rsid w:val="00763829"/>
    <w:rsid w:val="00763850"/>
    <w:rsid w:val="007657F0"/>
    <w:rsid w:val="00765C19"/>
    <w:rsid w:val="00766AED"/>
    <w:rsid w:val="00766D2C"/>
    <w:rsid w:val="007676AE"/>
    <w:rsid w:val="00767F20"/>
    <w:rsid w:val="007702E4"/>
    <w:rsid w:val="00770A1F"/>
    <w:rsid w:val="007726D7"/>
    <w:rsid w:val="00773B01"/>
    <w:rsid w:val="00773E08"/>
    <w:rsid w:val="00774735"/>
    <w:rsid w:val="0077532D"/>
    <w:rsid w:val="00775CDF"/>
    <w:rsid w:val="0077645C"/>
    <w:rsid w:val="007807D4"/>
    <w:rsid w:val="00780849"/>
    <w:rsid w:val="00783A97"/>
    <w:rsid w:val="00784548"/>
    <w:rsid w:val="00785F4B"/>
    <w:rsid w:val="007866C4"/>
    <w:rsid w:val="00791123"/>
    <w:rsid w:val="00791458"/>
    <w:rsid w:val="00792666"/>
    <w:rsid w:val="007934D2"/>
    <w:rsid w:val="007938DE"/>
    <w:rsid w:val="00793ECE"/>
    <w:rsid w:val="00794757"/>
    <w:rsid w:val="00794778"/>
    <w:rsid w:val="00794C1A"/>
    <w:rsid w:val="00795732"/>
    <w:rsid w:val="0079623C"/>
    <w:rsid w:val="00797508"/>
    <w:rsid w:val="00797A4A"/>
    <w:rsid w:val="007A0600"/>
    <w:rsid w:val="007A0A98"/>
    <w:rsid w:val="007A0BB1"/>
    <w:rsid w:val="007A2051"/>
    <w:rsid w:val="007A309C"/>
    <w:rsid w:val="007A436B"/>
    <w:rsid w:val="007A4762"/>
    <w:rsid w:val="007A52C9"/>
    <w:rsid w:val="007A5B4D"/>
    <w:rsid w:val="007A5CAB"/>
    <w:rsid w:val="007A673C"/>
    <w:rsid w:val="007A6E08"/>
    <w:rsid w:val="007A7724"/>
    <w:rsid w:val="007B047E"/>
    <w:rsid w:val="007B069D"/>
    <w:rsid w:val="007B0EBD"/>
    <w:rsid w:val="007B364D"/>
    <w:rsid w:val="007B4438"/>
    <w:rsid w:val="007B48A1"/>
    <w:rsid w:val="007B4CD2"/>
    <w:rsid w:val="007B6B14"/>
    <w:rsid w:val="007C020F"/>
    <w:rsid w:val="007C053F"/>
    <w:rsid w:val="007C16CB"/>
    <w:rsid w:val="007C32A2"/>
    <w:rsid w:val="007C3423"/>
    <w:rsid w:val="007C35B6"/>
    <w:rsid w:val="007C414A"/>
    <w:rsid w:val="007C4B80"/>
    <w:rsid w:val="007C57DC"/>
    <w:rsid w:val="007C6CA9"/>
    <w:rsid w:val="007C780F"/>
    <w:rsid w:val="007C79CF"/>
    <w:rsid w:val="007C7FA2"/>
    <w:rsid w:val="007D23EA"/>
    <w:rsid w:val="007D2C6A"/>
    <w:rsid w:val="007D3415"/>
    <w:rsid w:val="007D3605"/>
    <w:rsid w:val="007D5047"/>
    <w:rsid w:val="007D579E"/>
    <w:rsid w:val="007D63BB"/>
    <w:rsid w:val="007D6A2E"/>
    <w:rsid w:val="007D7102"/>
    <w:rsid w:val="007E0194"/>
    <w:rsid w:val="007E071F"/>
    <w:rsid w:val="007E0F24"/>
    <w:rsid w:val="007E1243"/>
    <w:rsid w:val="007E2455"/>
    <w:rsid w:val="007E2CAB"/>
    <w:rsid w:val="007E2DC2"/>
    <w:rsid w:val="007E3D50"/>
    <w:rsid w:val="007E4173"/>
    <w:rsid w:val="007E4473"/>
    <w:rsid w:val="007E4B26"/>
    <w:rsid w:val="007E5283"/>
    <w:rsid w:val="007E6C48"/>
    <w:rsid w:val="007E6CA9"/>
    <w:rsid w:val="007F0115"/>
    <w:rsid w:val="007F0DB5"/>
    <w:rsid w:val="007F1077"/>
    <w:rsid w:val="007F1B94"/>
    <w:rsid w:val="007F2220"/>
    <w:rsid w:val="007F28C2"/>
    <w:rsid w:val="007F3856"/>
    <w:rsid w:val="007F393A"/>
    <w:rsid w:val="007F4431"/>
    <w:rsid w:val="007F477E"/>
    <w:rsid w:val="007F573C"/>
    <w:rsid w:val="007F60D9"/>
    <w:rsid w:val="007F740E"/>
    <w:rsid w:val="007F7BA8"/>
    <w:rsid w:val="00800CE0"/>
    <w:rsid w:val="00800F82"/>
    <w:rsid w:val="00802A9F"/>
    <w:rsid w:val="00802C10"/>
    <w:rsid w:val="0080346F"/>
    <w:rsid w:val="008048F6"/>
    <w:rsid w:val="00805BA8"/>
    <w:rsid w:val="00805D64"/>
    <w:rsid w:val="0080609D"/>
    <w:rsid w:val="008061DD"/>
    <w:rsid w:val="00806202"/>
    <w:rsid w:val="00806BC1"/>
    <w:rsid w:val="00807786"/>
    <w:rsid w:val="00810B9A"/>
    <w:rsid w:val="008120B2"/>
    <w:rsid w:val="00815113"/>
    <w:rsid w:val="00815A33"/>
    <w:rsid w:val="00815CBC"/>
    <w:rsid w:val="008167F4"/>
    <w:rsid w:val="00816C15"/>
    <w:rsid w:val="00817DC6"/>
    <w:rsid w:val="00820039"/>
    <w:rsid w:val="00820223"/>
    <w:rsid w:val="008203EA"/>
    <w:rsid w:val="00820631"/>
    <w:rsid w:val="00821DE0"/>
    <w:rsid w:val="00823029"/>
    <w:rsid w:val="008244B6"/>
    <w:rsid w:val="0082469C"/>
    <w:rsid w:val="00824FE8"/>
    <w:rsid w:val="00827D53"/>
    <w:rsid w:val="00830C08"/>
    <w:rsid w:val="0083117E"/>
    <w:rsid w:val="008331B9"/>
    <w:rsid w:val="008341E9"/>
    <w:rsid w:val="008350B4"/>
    <w:rsid w:val="00835455"/>
    <w:rsid w:val="008363B8"/>
    <w:rsid w:val="00836A61"/>
    <w:rsid w:val="008376F6"/>
    <w:rsid w:val="00841547"/>
    <w:rsid w:val="00842199"/>
    <w:rsid w:val="00842F2C"/>
    <w:rsid w:val="00843115"/>
    <w:rsid w:val="00843957"/>
    <w:rsid w:val="00843A99"/>
    <w:rsid w:val="00845678"/>
    <w:rsid w:val="0084622C"/>
    <w:rsid w:val="008464B3"/>
    <w:rsid w:val="00846C2A"/>
    <w:rsid w:val="00850932"/>
    <w:rsid w:val="00850DE5"/>
    <w:rsid w:val="00851187"/>
    <w:rsid w:val="00852946"/>
    <w:rsid w:val="0085303F"/>
    <w:rsid w:val="0085340A"/>
    <w:rsid w:val="00853759"/>
    <w:rsid w:val="00857677"/>
    <w:rsid w:val="00857B90"/>
    <w:rsid w:val="008604A7"/>
    <w:rsid w:val="00860782"/>
    <w:rsid w:val="00860EC8"/>
    <w:rsid w:val="00860F28"/>
    <w:rsid w:val="00860FC9"/>
    <w:rsid w:val="00862538"/>
    <w:rsid w:val="00863CE6"/>
    <w:rsid w:val="0086523A"/>
    <w:rsid w:val="0086739F"/>
    <w:rsid w:val="00867B2D"/>
    <w:rsid w:val="008704DD"/>
    <w:rsid w:val="00872EF3"/>
    <w:rsid w:val="0087523C"/>
    <w:rsid w:val="008757AC"/>
    <w:rsid w:val="00876C24"/>
    <w:rsid w:val="00876CD2"/>
    <w:rsid w:val="00876F99"/>
    <w:rsid w:val="00877337"/>
    <w:rsid w:val="00877B7A"/>
    <w:rsid w:val="0088068F"/>
    <w:rsid w:val="00880BB0"/>
    <w:rsid w:val="00880D82"/>
    <w:rsid w:val="0088148E"/>
    <w:rsid w:val="008821DD"/>
    <w:rsid w:val="0088374D"/>
    <w:rsid w:val="008848B9"/>
    <w:rsid w:val="00884F6D"/>
    <w:rsid w:val="00885805"/>
    <w:rsid w:val="00886BEA"/>
    <w:rsid w:val="00887BFC"/>
    <w:rsid w:val="008903F9"/>
    <w:rsid w:val="00892300"/>
    <w:rsid w:val="008924C1"/>
    <w:rsid w:val="00893FB3"/>
    <w:rsid w:val="00894BD8"/>
    <w:rsid w:val="00894F48"/>
    <w:rsid w:val="00895238"/>
    <w:rsid w:val="00895391"/>
    <w:rsid w:val="00896B75"/>
    <w:rsid w:val="008A04D7"/>
    <w:rsid w:val="008A21E7"/>
    <w:rsid w:val="008A412F"/>
    <w:rsid w:val="008A58A8"/>
    <w:rsid w:val="008A5DBC"/>
    <w:rsid w:val="008B0BF1"/>
    <w:rsid w:val="008B0D0E"/>
    <w:rsid w:val="008B1885"/>
    <w:rsid w:val="008B1EC7"/>
    <w:rsid w:val="008B32EE"/>
    <w:rsid w:val="008B4774"/>
    <w:rsid w:val="008B481F"/>
    <w:rsid w:val="008B4A61"/>
    <w:rsid w:val="008B5DDC"/>
    <w:rsid w:val="008B737E"/>
    <w:rsid w:val="008B76F1"/>
    <w:rsid w:val="008B79EA"/>
    <w:rsid w:val="008B7E0E"/>
    <w:rsid w:val="008C0F0C"/>
    <w:rsid w:val="008C185A"/>
    <w:rsid w:val="008C239A"/>
    <w:rsid w:val="008C3A35"/>
    <w:rsid w:val="008C3DC9"/>
    <w:rsid w:val="008C49F7"/>
    <w:rsid w:val="008C4BD2"/>
    <w:rsid w:val="008C576F"/>
    <w:rsid w:val="008C69E2"/>
    <w:rsid w:val="008D087C"/>
    <w:rsid w:val="008D1460"/>
    <w:rsid w:val="008D288B"/>
    <w:rsid w:val="008D2C37"/>
    <w:rsid w:val="008D40FF"/>
    <w:rsid w:val="008D46D8"/>
    <w:rsid w:val="008D4E96"/>
    <w:rsid w:val="008D6FCD"/>
    <w:rsid w:val="008E0315"/>
    <w:rsid w:val="008E0803"/>
    <w:rsid w:val="008E3D6D"/>
    <w:rsid w:val="008E4839"/>
    <w:rsid w:val="008E585F"/>
    <w:rsid w:val="008E77AA"/>
    <w:rsid w:val="008F1337"/>
    <w:rsid w:val="008F195B"/>
    <w:rsid w:val="008F23C3"/>
    <w:rsid w:val="008F310A"/>
    <w:rsid w:val="008F315D"/>
    <w:rsid w:val="008F3F66"/>
    <w:rsid w:val="008F43EF"/>
    <w:rsid w:val="0090013A"/>
    <w:rsid w:val="009008F2"/>
    <w:rsid w:val="00901AD4"/>
    <w:rsid w:val="0090219C"/>
    <w:rsid w:val="0090285A"/>
    <w:rsid w:val="009056F0"/>
    <w:rsid w:val="00905DF5"/>
    <w:rsid w:val="00906205"/>
    <w:rsid w:val="00907022"/>
    <w:rsid w:val="00910386"/>
    <w:rsid w:val="009110F8"/>
    <w:rsid w:val="009114C8"/>
    <w:rsid w:val="00911656"/>
    <w:rsid w:val="00911D7C"/>
    <w:rsid w:val="009122FD"/>
    <w:rsid w:val="0091281F"/>
    <w:rsid w:val="00912C13"/>
    <w:rsid w:val="00913B59"/>
    <w:rsid w:val="00914ACA"/>
    <w:rsid w:val="009150CB"/>
    <w:rsid w:val="0091703F"/>
    <w:rsid w:val="009170F9"/>
    <w:rsid w:val="00917970"/>
    <w:rsid w:val="00917D36"/>
    <w:rsid w:val="00920925"/>
    <w:rsid w:val="00921CA3"/>
    <w:rsid w:val="00923B29"/>
    <w:rsid w:val="00924A0C"/>
    <w:rsid w:val="009267A6"/>
    <w:rsid w:val="009268D7"/>
    <w:rsid w:val="00927498"/>
    <w:rsid w:val="00927A36"/>
    <w:rsid w:val="00927CD9"/>
    <w:rsid w:val="0093012B"/>
    <w:rsid w:val="00930343"/>
    <w:rsid w:val="009306C3"/>
    <w:rsid w:val="00931063"/>
    <w:rsid w:val="00931142"/>
    <w:rsid w:val="009335A9"/>
    <w:rsid w:val="00933B07"/>
    <w:rsid w:val="00935001"/>
    <w:rsid w:val="0093560E"/>
    <w:rsid w:val="00935849"/>
    <w:rsid w:val="00935E6E"/>
    <w:rsid w:val="00935FF0"/>
    <w:rsid w:val="00937777"/>
    <w:rsid w:val="00940AC0"/>
    <w:rsid w:val="00942EB1"/>
    <w:rsid w:val="00943424"/>
    <w:rsid w:val="0094355F"/>
    <w:rsid w:val="00943EF9"/>
    <w:rsid w:val="00944077"/>
    <w:rsid w:val="009440A9"/>
    <w:rsid w:val="0094480F"/>
    <w:rsid w:val="009458A1"/>
    <w:rsid w:val="009458CD"/>
    <w:rsid w:val="009471FF"/>
    <w:rsid w:val="00947534"/>
    <w:rsid w:val="009475F6"/>
    <w:rsid w:val="00951C30"/>
    <w:rsid w:val="00951C54"/>
    <w:rsid w:val="00952056"/>
    <w:rsid w:val="009534DD"/>
    <w:rsid w:val="0095420D"/>
    <w:rsid w:val="00955B16"/>
    <w:rsid w:val="009572AF"/>
    <w:rsid w:val="00960110"/>
    <w:rsid w:val="009610E6"/>
    <w:rsid w:val="00963186"/>
    <w:rsid w:val="009631F3"/>
    <w:rsid w:val="009659C4"/>
    <w:rsid w:val="00965E47"/>
    <w:rsid w:val="00965F5B"/>
    <w:rsid w:val="00966114"/>
    <w:rsid w:val="009664D3"/>
    <w:rsid w:val="0096722F"/>
    <w:rsid w:val="00967779"/>
    <w:rsid w:val="00967912"/>
    <w:rsid w:val="0097106C"/>
    <w:rsid w:val="009710D0"/>
    <w:rsid w:val="00972433"/>
    <w:rsid w:val="00972DCE"/>
    <w:rsid w:val="0097544A"/>
    <w:rsid w:val="009755DB"/>
    <w:rsid w:val="00976943"/>
    <w:rsid w:val="009770BE"/>
    <w:rsid w:val="00980282"/>
    <w:rsid w:val="0098060A"/>
    <w:rsid w:val="00980C93"/>
    <w:rsid w:val="00981241"/>
    <w:rsid w:val="00981E9C"/>
    <w:rsid w:val="00983A44"/>
    <w:rsid w:val="00984088"/>
    <w:rsid w:val="00985BDB"/>
    <w:rsid w:val="00985EE3"/>
    <w:rsid w:val="009877C2"/>
    <w:rsid w:val="0099323C"/>
    <w:rsid w:val="00993245"/>
    <w:rsid w:val="0099389B"/>
    <w:rsid w:val="009938FA"/>
    <w:rsid w:val="0099610D"/>
    <w:rsid w:val="00996F7F"/>
    <w:rsid w:val="00997BED"/>
    <w:rsid w:val="009A0221"/>
    <w:rsid w:val="009A149C"/>
    <w:rsid w:val="009A26E6"/>
    <w:rsid w:val="009A2AE7"/>
    <w:rsid w:val="009A658D"/>
    <w:rsid w:val="009B0992"/>
    <w:rsid w:val="009B09DC"/>
    <w:rsid w:val="009B0BEB"/>
    <w:rsid w:val="009B197D"/>
    <w:rsid w:val="009B1F77"/>
    <w:rsid w:val="009B20F6"/>
    <w:rsid w:val="009B4411"/>
    <w:rsid w:val="009B444B"/>
    <w:rsid w:val="009B4950"/>
    <w:rsid w:val="009B6717"/>
    <w:rsid w:val="009C0E07"/>
    <w:rsid w:val="009C0F8D"/>
    <w:rsid w:val="009C2364"/>
    <w:rsid w:val="009C3762"/>
    <w:rsid w:val="009C3802"/>
    <w:rsid w:val="009C4D3F"/>
    <w:rsid w:val="009C51B8"/>
    <w:rsid w:val="009C6627"/>
    <w:rsid w:val="009D047B"/>
    <w:rsid w:val="009D1D05"/>
    <w:rsid w:val="009D25C6"/>
    <w:rsid w:val="009D2730"/>
    <w:rsid w:val="009D3E42"/>
    <w:rsid w:val="009D45C4"/>
    <w:rsid w:val="009D5827"/>
    <w:rsid w:val="009D5C29"/>
    <w:rsid w:val="009D6F2B"/>
    <w:rsid w:val="009E0AA6"/>
    <w:rsid w:val="009E0B39"/>
    <w:rsid w:val="009E0BB5"/>
    <w:rsid w:val="009E23C2"/>
    <w:rsid w:val="009E2703"/>
    <w:rsid w:val="009E2765"/>
    <w:rsid w:val="009E362A"/>
    <w:rsid w:val="009E47B5"/>
    <w:rsid w:val="009E691F"/>
    <w:rsid w:val="009E6AD8"/>
    <w:rsid w:val="009E78A1"/>
    <w:rsid w:val="009F231C"/>
    <w:rsid w:val="009F394B"/>
    <w:rsid w:val="009F5042"/>
    <w:rsid w:val="009F6593"/>
    <w:rsid w:val="009F72F7"/>
    <w:rsid w:val="009F7371"/>
    <w:rsid w:val="009F76EF"/>
    <w:rsid w:val="00A00F74"/>
    <w:rsid w:val="00A011B2"/>
    <w:rsid w:val="00A0171C"/>
    <w:rsid w:val="00A02B36"/>
    <w:rsid w:val="00A0377A"/>
    <w:rsid w:val="00A04900"/>
    <w:rsid w:val="00A04A05"/>
    <w:rsid w:val="00A04DE1"/>
    <w:rsid w:val="00A051C5"/>
    <w:rsid w:val="00A0755F"/>
    <w:rsid w:val="00A07E0D"/>
    <w:rsid w:val="00A13CF0"/>
    <w:rsid w:val="00A14131"/>
    <w:rsid w:val="00A148DC"/>
    <w:rsid w:val="00A175F3"/>
    <w:rsid w:val="00A1796B"/>
    <w:rsid w:val="00A21A4D"/>
    <w:rsid w:val="00A24068"/>
    <w:rsid w:val="00A26194"/>
    <w:rsid w:val="00A26564"/>
    <w:rsid w:val="00A30BC0"/>
    <w:rsid w:val="00A311C5"/>
    <w:rsid w:val="00A32C9E"/>
    <w:rsid w:val="00A3382A"/>
    <w:rsid w:val="00A360F5"/>
    <w:rsid w:val="00A375DC"/>
    <w:rsid w:val="00A401E9"/>
    <w:rsid w:val="00A40BA9"/>
    <w:rsid w:val="00A422C3"/>
    <w:rsid w:val="00A426FA"/>
    <w:rsid w:val="00A440BA"/>
    <w:rsid w:val="00A451FF"/>
    <w:rsid w:val="00A465F5"/>
    <w:rsid w:val="00A4795E"/>
    <w:rsid w:val="00A50968"/>
    <w:rsid w:val="00A50C18"/>
    <w:rsid w:val="00A50F54"/>
    <w:rsid w:val="00A53C2E"/>
    <w:rsid w:val="00A56794"/>
    <w:rsid w:val="00A56CD4"/>
    <w:rsid w:val="00A57512"/>
    <w:rsid w:val="00A57920"/>
    <w:rsid w:val="00A618D7"/>
    <w:rsid w:val="00A62C59"/>
    <w:rsid w:val="00A62DA0"/>
    <w:rsid w:val="00A62F5B"/>
    <w:rsid w:val="00A635D7"/>
    <w:rsid w:val="00A64143"/>
    <w:rsid w:val="00A64351"/>
    <w:rsid w:val="00A656B5"/>
    <w:rsid w:val="00A6594F"/>
    <w:rsid w:val="00A669E1"/>
    <w:rsid w:val="00A66DA3"/>
    <w:rsid w:val="00A67338"/>
    <w:rsid w:val="00A674C5"/>
    <w:rsid w:val="00A7028F"/>
    <w:rsid w:val="00A706D7"/>
    <w:rsid w:val="00A71DE7"/>
    <w:rsid w:val="00A7240A"/>
    <w:rsid w:val="00A73292"/>
    <w:rsid w:val="00A75420"/>
    <w:rsid w:val="00A761EA"/>
    <w:rsid w:val="00A772A6"/>
    <w:rsid w:val="00A77D97"/>
    <w:rsid w:val="00A80EA8"/>
    <w:rsid w:val="00A8200A"/>
    <w:rsid w:val="00A820C0"/>
    <w:rsid w:val="00A82525"/>
    <w:rsid w:val="00A8289A"/>
    <w:rsid w:val="00A82C60"/>
    <w:rsid w:val="00A83BFE"/>
    <w:rsid w:val="00A83DC0"/>
    <w:rsid w:val="00A8676C"/>
    <w:rsid w:val="00A867B8"/>
    <w:rsid w:val="00A87BFA"/>
    <w:rsid w:val="00A900DD"/>
    <w:rsid w:val="00A90524"/>
    <w:rsid w:val="00A9081D"/>
    <w:rsid w:val="00A90B00"/>
    <w:rsid w:val="00A91DBD"/>
    <w:rsid w:val="00A91EA2"/>
    <w:rsid w:val="00A92ED9"/>
    <w:rsid w:val="00A9390E"/>
    <w:rsid w:val="00A93A93"/>
    <w:rsid w:val="00A94521"/>
    <w:rsid w:val="00A94E38"/>
    <w:rsid w:val="00A94F2A"/>
    <w:rsid w:val="00A94F8A"/>
    <w:rsid w:val="00A95689"/>
    <w:rsid w:val="00A96432"/>
    <w:rsid w:val="00A967D6"/>
    <w:rsid w:val="00A97060"/>
    <w:rsid w:val="00A9745C"/>
    <w:rsid w:val="00A97C57"/>
    <w:rsid w:val="00AA0E78"/>
    <w:rsid w:val="00AA2847"/>
    <w:rsid w:val="00AA358E"/>
    <w:rsid w:val="00AA35BE"/>
    <w:rsid w:val="00AA4572"/>
    <w:rsid w:val="00AA4D8C"/>
    <w:rsid w:val="00AA52E2"/>
    <w:rsid w:val="00AB014F"/>
    <w:rsid w:val="00AB0A0C"/>
    <w:rsid w:val="00AB114B"/>
    <w:rsid w:val="00AB14DC"/>
    <w:rsid w:val="00AB1FAB"/>
    <w:rsid w:val="00AB2CFE"/>
    <w:rsid w:val="00AB31AB"/>
    <w:rsid w:val="00AB337D"/>
    <w:rsid w:val="00AB3B47"/>
    <w:rsid w:val="00AB4A2F"/>
    <w:rsid w:val="00AB54EA"/>
    <w:rsid w:val="00AB6BF6"/>
    <w:rsid w:val="00AB6D3E"/>
    <w:rsid w:val="00AB75C0"/>
    <w:rsid w:val="00AC0D91"/>
    <w:rsid w:val="00AC0DF6"/>
    <w:rsid w:val="00AC1158"/>
    <w:rsid w:val="00AC4409"/>
    <w:rsid w:val="00AC46E6"/>
    <w:rsid w:val="00AC6D66"/>
    <w:rsid w:val="00AC71FD"/>
    <w:rsid w:val="00AD1A54"/>
    <w:rsid w:val="00AD2ECF"/>
    <w:rsid w:val="00AD377C"/>
    <w:rsid w:val="00AD4171"/>
    <w:rsid w:val="00AD7208"/>
    <w:rsid w:val="00AD7D13"/>
    <w:rsid w:val="00AD7FEC"/>
    <w:rsid w:val="00AE1B64"/>
    <w:rsid w:val="00AE2522"/>
    <w:rsid w:val="00AE6FBD"/>
    <w:rsid w:val="00AF0211"/>
    <w:rsid w:val="00AF05A6"/>
    <w:rsid w:val="00AF240A"/>
    <w:rsid w:val="00AF2A70"/>
    <w:rsid w:val="00AF2C11"/>
    <w:rsid w:val="00AF332D"/>
    <w:rsid w:val="00AF528E"/>
    <w:rsid w:val="00AF6316"/>
    <w:rsid w:val="00AF7966"/>
    <w:rsid w:val="00B00ED8"/>
    <w:rsid w:val="00B031DB"/>
    <w:rsid w:val="00B03669"/>
    <w:rsid w:val="00B038A9"/>
    <w:rsid w:val="00B04126"/>
    <w:rsid w:val="00B04784"/>
    <w:rsid w:val="00B055E3"/>
    <w:rsid w:val="00B05936"/>
    <w:rsid w:val="00B0680F"/>
    <w:rsid w:val="00B0685C"/>
    <w:rsid w:val="00B0734B"/>
    <w:rsid w:val="00B101BF"/>
    <w:rsid w:val="00B10908"/>
    <w:rsid w:val="00B114C2"/>
    <w:rsid w:val="00B12A89"/>
    <w:rsid w:val="00B1355E"/>
    <w:rsid w:val="00B14469"/>
    <w:rsid w:val="00B16A98"/>
    <w:rsid w:val="00B16EB0"/>
    <w:rsid w:val="00B20F1B"/>
    <w:rsid w:val="00B2106A"/>
    <w:rsid w:val="00B2124E"/>
    <w:rsid w:val="00B217D0"/>
    <w:rsid w:val="00B21E5C"/>
    <w:rsid w:val="00B21EBD"/>
    <w:rsid w:val="00B21EDA"/>
    <w:rsid w:val="00B22791"/>
    <w:rsid w:val="00B22894"/>
    <w:rsid w:val="00B22C43"/>
    <w:rsid w:val="00B23815"/>
    <w:rsid w:val="00B2465B"/>
    <w:rsid w:val="00B246A7"/>
    <w:rsid w:val="00B248D3"/>
    <w:rsid w:val="00B25C06"/>
    <w:rsid w:val="00B270C0"/>
    <w:rsid w:val="00B27377"/>
    <w:rsid w:val="00B3006A"/>
    <w:rsid w:val="00B31434"/>
    <w:rsid w:val="00B31784"/>
    <w:rsid w:val="00B31AAA"/>
    <w:rsid w:val="00B31BAA"/>
    <w:rsid w:val="00B32B22"/>
    <w:rsid w:val="00B32D3F"/>
    <w:rsid w:val="00B33011"/>
    <w:rsid w:val="00B33B6F"/>
    <w:rsid w:val="00B345D6"/>
    <w:rsid w:val="00B3470B"/>
    <w:rsid w:val="00B379B6"/>
    <w:rsid w:val="00B4113C"/>
    <w:rsid w:val="00B417B7"/>
    <w:rsid w:val="00B42713"/>
    <w:rsid w:val="00B441DC"/>
    <w:rsid w:val="00B44F0D"/>
    <w:rsid w:val="00B46036"/>
    <w:rsid w:val="00B47A31"/>
    <w:rsid w:val="00B47EA4"/>
    <w:rsid w:val="00B506E1"/>
    <w:rsid w:val="00B51DA5"/>
    <w:rsid w:val="00B52FF6"/>
    <w:rsid w:val="00B537F8"/>
    <w:rsid w:val="00B56D52"/>
    <w:rsid w:val="00B572B0"/>
    <w:rsid w:val="00B60C98"/>
    <w:rsid w:val="00B627A7"/>
    <w:rsid w:val="00B635BB"/>
    <w:rsid w:val="00B6425E"/>
    <w:rsid w:val="00B671C3"/>
    <w:rsid w:val="00B717EB"/>
    <w:rsid w:val="00B7197A"/>
    <w:rsid w:val="00B7251A"/>
    <w:rsid w:val="00B7259A"/>
    <w:rsid w:val="00B728E4"/>
    <w:rsid w:val="00B72B69"/>
    <w:rsid w:val="00B748F4"/>
    <w:rsid w:val="00B76194"/>
    <w:rsid w:val="00B76650"/>
    <w:rsid w:val="00B767D8"/>
    <w:rsid w:val="00B76CC8"/>
    <w:rsid w:val="00B77320"/>
    <w:rsid w:val="00B77EFD"/>
    <w:rsid w:val="00B77F36"/>
    <w:rsid w:val="00B80178"/>
    <w:rsid w:val="00B80BC3"/>
    <w:rsid w:val="00B81D37"/>
    <w:rsid w:val="00B82F0E"/>
    <w:rsid w:val="00B837F8"/>
    <w:rsid w:val="00B86A69"/>
    <w:rsid w:val="00B8712A"/>
    <w:rsid w:val="00B876DB"/>
    <w:rsid w:val="00B87C72"/>
    <w:rsid w:val="00B92275"/>
    <w:rsid w:val="00B93601"/>
    <w:rsid w:val="00B949B8"/>
    <w:rsid w:val="00B94CFB"/>
    <w:rsid w:val="00B95251"/>
    <w:rsid w:val="00B9528A"/>
    <w:rsid w:val="00B956EB"/>
    <w:rsid w:val="00B95A73"/>
    <w:rsid w:val="00B95CDC"/>
    <w:rsid w:val="00B969DC"/>
    <w:rsid w:val="00BA17FB"/>
    <w:rsid w:val="00BA245F"/>
    <w:rsid w:val="00BA31EA"/>
    <w:rsid w:val="00BA3975"/>
    <w:rsid w:val="00BA3C7A"/>
    <w:rsid w:val="00BA3CC5"/>
    <w:rsid w:val="00BA5226"/>
    <w:rsid w:val="00BA630F"/>
    <w:rsid w:val="00BA778C"/>
    <w:rsid w:val="00BA7A43"/>
    <w:rsid w:val="00BA7E2B"/>
    <w:rsid w:val="00BB040F"/>
    <w:rsid w:val="00BB23E2"/>
    <w:rsid w:val="00BB3FAF"/>
    <w:rsid w:val="00BB4925"/>
    <w:rsid w:val="00BB4BA3"/>
    <w:rsid w:val="00BB54F3"/>
    <w:rsid w:val="00BB7CC4"/>
    <w:rsid w:val="00BC06CA"/>
    <w:rsid w:val="00BC0977"/>
    <w:rsid w:val="00BC2AF1"/>
    <w:rsid w:val="00BC3E73"/>
    <w:rsid w:val="00BC51A1"/>
    <w:rsid w:val="00BC5993"/>
    <w:rsid w:val="00BC6193"/>
    <w:rsid w:val="00BC6B14"/>
    <w:rsid w:val="00BC7B05"/>
    <w:rsid w:val="00BD0DA8"/>
    <w:rsid w:val="00BD2951"/>
    <w:rsid w:val="00BD2D9D"/>
    <w:rsid w:val="00BD326B"/>
    <w:rsid w:val="00BD3FAC"/>
    <w:rsid w:val="00BD6201"/>
    <w:rsid w:val="00BD6B57"/>
    <w:rsid w:val="00BD7132"/>
    <w:rsid w:val="00BE0CAE"/>
    <w:rsid w:val="00BE0CEE"/>
    <w:rsid w:val="00BE41B7"/>
    <w:rsid w:val="00BE4804"/>
    <w:rsid w:val="00BE4CC2"/>
    <w:rsid w:val="00BE5492"/>
    <w:rsid w:val="00BF1022"/>
    <w:rsid w:val="00BF1F32"/>
    <w:rsid w:val="00BF216C"/>
    <w:rsid w:val="00BF296C"/>
    <w:rsid w:val="00BF2AFC"/>
    <w:rsid w:val="00BF30EB"/>
    <w:rsid w:val="00BF34A7"/>
    <w:rsid w:val="00BF3A46"/>
    <w:rsid w:val="00BF3CCC"/>
    <w:rsid w:val="00BF4DA4"/>
    <w:rsid w:val="00BF566B"/>
    <w:rsid w:val="00BF5A54"/>
    <w:rsid w:val="00BF6305"/>
    <w:rsid w:val="00BF6DB9"/>
    <w:rsid w:val="00C005A2"/>
    <w:rsid w:val="00C009BC"/>
    <w:rsid w:val="00C00DD0"/>
    <w:rsid w:val="00C01F61"/>
    <w:rsid w:val="00C0270E"/>
    <w:rsid w:val="00C02C91"/>
    <w:rsid w:val="00C02E09"/>
    <w:rsid w:val="00C03252"/>
    <w:rsid w:val="00C06222"/>
    <w:rsid w:val="00C07286"/>
    <w:rsid w:val="00C078C6"/>
    <w:rsid w:val="00C11138"/>
    <w:rsid w:val="00C1151D"/>
    <w:rsid w:val="00C11ABD"/>
    <w:rsid w:val="00C11EA5"/>
    <w:rsid w:val="00C11FBD"/>
    <w:rsid w:val="00C122C6"/>
    <w:rsid w:val="00C13046"/>
    <w:rsid w:val="00C1337A"/>
    <w:rsid w:val="00C137EE"/>
    <w:rsid w:val="00C14F14"/>
    <w:rsid w:val="00C1582B"/>
    <w:rsid w:val="00C15A97"/>
    <w:rsid w:val="00C1786A"/>
    <w:rsid w:val="00C20275"/>
    <w:rsid w:val="00C21605"/>
    <w:rsid w:val="00C21A07"/>
    <w:rsid w:val="00C21C54"/>
    <w:rsid w:val="00C22AC4"/>
    <w:rsid w:val="00C233ED"/>
    <w:rsid w:val="00C236D4"/>
    <w:rsid w:val="00C2541D"/>
    <w:rsid w:val="00C25AA2"/>
    <w:rsid w:val="00C264B5"/>
    <w:rsid w:val="00C2690C"/>
    <w:rsid w:val="00C26AF3"/>
    <w:rsid w:val="00C30038"/>
    <w:rsid w:val="00C30C87"/>
    <w:rsid w:val="00C30F71"/>
    <w:rsid w:val="00C31D43"/>
    <w:rsid w:val="00C31DB6"/>
    <w:rsid w:val="00C33710"/>
    <w:rsid w:val="00C33B01"/>
    <w:rsid w:val="00C33CEA"/>
    <w:rsid w:val="00C34A8A"/>
    <w:rsid w:val="00C35510"/>
    <w:rsid w:val="00C356A2"/>
    <w:rsid w:val="00C356E7"/>
    <w:rsid w:val="00C35BCB"/>
    <w:rsid w:val="00C36444"/>
    <w:rsid w:val="00C37EB2"/>
    <w:rsid w:val="00C42903"/>
    <w:rsid w:val="00C43C3A"/>
    <w:rsid w:val="00C44DCC"/>
    <w:rsid w:val="00C45927"/>
    <w:rsid w:val="00C500B1"/>
    <w:rsid w:val="00C5025D"/>
    <w:rsid w:val="00C50370"/>
    <w:rsid w:val="00C50450"/>
    <w:rsid w:val="00C518FE"/>
    <w:rsid w:val="00C520B7"/>
    <w:rsid w:val="00C52CD8"/>
    <w:rsid w:val="00C538E8"/>
    <w:rsid w:val="00C54912"/>
    <w:rsid w:val="00C56838"/>
    <w:rsid w:val="00C56CA1"/>
    <w:rsid w:val="00C576B8"/>
    <w:rsid w:val="00C57E56"/>
    <w:rsid w:val="00C60015"/>
    <w:rsid w:val="00C6006A"/>
    <w:rsid w:val="00C601C6"/>
    <w:rsid w:val="00C620DF"/>
    <w:rsid w:val="00C620E1"/>
    <w:rsid w:val="00C6253F"/>
    <w:rsid w:val="00C62543"/>
    <w:rsid w:val="00C6304F"/>
    <w:rsid w:val="00C640F4"/>
    <w:rsid w:val="00C65582"/>
    <w:rsid w:val="00C662B7"/>
    <w:rsid w:val="00C678E5"/>
    <w:rsid w:val="00C7086F"/>
    <w:rsid w:val="00C716DB"/>
    <w:rsid w:val="00C7281F"/>
    <w:rsid w:val="00C73650"/>
    <w:rsid w:val="00C743CE"/>
    <w:rsid w:val="00C76831"/>
    <w:rsid w:val="00C76F04"/>
    <w:rsid w:val="00C77A24"/>
    <w:rsid w:val="00C77BA6"/>
    <w:rsid w:val="00C77BD0"/>
    <w:rsid w:val="00C77C82"/>
    <w:rsid w:val="00C8175F"/>
    <w:rsid w:val="00C82E55"/>
    <w:rsid w:val="00C8411D"/>
    <w:rsid w:val="00C8487C"/>
    <w:rsid w:val="00C8530B"/>
    <w:rsid w:val="00C8721A"/>
    <w:rsid w:val="00C91006"/>
    <w:rsid w:val="00C91963"/>
    <w:rsid w:val="00C91F01"/>
    <w:rsid w:val="00C92051"/>
    <w:rsid w:val="00C92CAE"/>
    <w:rsid w:val="00C941A5"/>
    <w:rsid w:val="00C966D0"/>
    <w:rsid w:val="00C96D08"/>
    <w:rsid w:val="00C96F59"/>
    <w:rsid w:val="00C97112"/>
    <w:rsid w:val="00C973D5"/>
    <w:rsid w:val="00C97411"/>
    <w:rsid w:val="00C975B8"/>
    <w:rsid w:val="00C9768A"/>
    <w:rsid w:val="00C97B3F"/>
    <w:rsid w:val="00CA1AFD"/>
    <w:rsid w:val="00CA1CB4"/>
    <w:rsid w:val="00CA4364"/>
    <w:rsid w:val="00CA6CF2"/>
    <w:rsid w:val="00CA7026"/>
    <w:rsid w:val="00CA7561"/>
    <w:rsid w:val="00CB0830"/>
    <w:rsid w:val="00CB299B"/>
    <w:rsid w:val="00CB56AF"/>
    <w:rsid w:val="00CB5858"/>
    <w:rsid w:val="00CB5FDC"/>
    <w:rsid w:val="00CB7401"/>
    <w:rsid w:val="00CB763E"/>
    <w:rsid w:val="00CC0AC7"/>
    <w:rsid w:val="00CC1764"/>
    <w:rsid w:val="00CC2868"/>
    <w:rsid w:val="00CC3D14"/>
    <w:rsid w:val="00CC426A"/>
    <w:rsid w:val="00CC42BE"/>
    <w:rsid w:val="00CC4AE8"/>
    <w:rsid w:val="00CC5782"/>
    <w:rsid w:val="00CC6AFF"/>
    <w:rsid w:val="00CC724D"/>
    <w:rsid w:val="00CC7B19"/>
    <w:rsid w:val="00CC7CFA"/>
    <w:rsid w:val="00CD1905"/>
    <w:rsid w:val="00CD1997"/>
    <w:rsid w:val="00CD2DA5"/>
    <w:rsid w:val="00CD2EC3"/>
    <w:rsid w:val="00CD32C4"/>
    <w:rsid w:val="00CD3C84"/>
    <w:rsid w:val="00CD58EB"/>
    <w:rsid w:val="00CD5900"/>
    <w:rsid w:val="00CD61EB"/>
    <w:rsid w:val="00CD6880"/>
    <w:rsid w:val="00CD6C0C"/>
    <w:rsid w:val="00CD6D12"/>
    <w:rsid w:val="00CD7D39"/>
    <w:rsid w:val="00CE12AD"/>
    <w:rsid w:val="00CE1843"/>
    <w:rsid w:val="00CE1D15"/>
    <w:rsid w:val="00CE2084"/>
    <w:rsid w:val="00CE2590"/>
    <w:rsid w:val="00CE2ACC"/>
    <w:rsid w:val="00CE5720"/>
    <w:rsid w:val="00CE5DB1"/>
    <w:rsid w:val="00CE6E13"/>
    <w:rsid w:val="00CF038C"/>
    <w:rsid w:val="00CF07CE"/>
    <w:rsid w:val="00CF0815"/>
    <w:rsid w:val="00CF1B1C"/>
    <w:rsid w:val="00CF2B39"/>
    <w:rsid w:val="00CF4A24"/>
    <w:rsid w:val="00CF6F82"/>
    <w:rsid w:val="00CF6FB4"/>
    <w:rsid w:val="00D004A1"/>
    <w:rsid w:val="00D00EF2"/>
    <w:rsid w:val="00D0142A"/>
    <w:rsid w:val="00D016A7"/>
    <w:rsid w:val="00D01B40"/>
    <w:rsid w:val="00D01C03"/>
    <w:rsid w:val="00D02A12"/>
    <w:rsid w:val="00D045F9"/>
    <w:rsid w:val="00D06B1C"/>
    <w:rsid w:val="00D07681"/>
    <w:rsid w:val="00D10E23"/>
    <w:rsid w:val="00D11047"/>
    <w:rsid w:val="00D118E2"/>
    <w:rsid w:val="00D1190A"/>
    <w:rsid w:val="00D11A77"/>
    <w:rsid w:val="00D11ADD"/>
    <w:rsid w:val="00D127E2"/>
    <w:rsid w:val="00D132FD"/>
    <w:rsid w:val="00D14656"/>
    <w:rsid w:val="00D14A22"/>
    <w:rsid w:val="00D15DD8"/>
    <w:rsid w:val="00D16374"/>
    <w:rsid w:val="00D16C39"/>
    <w:rsid w:val="00D200D0"/>
    <w:rsid w:val="00D203F8"/>
    <w:rsid w:val="00D206B3"/>
    <w:rsid w:val="00D20AE0"/>
    <w:rsid w:val="00D20BB0"/>
    <w:rsid w:val="00D21311"/>
    <w:rsid w:val="00D21BDC"/>
    <w:rsid w:val="00D22B6A"/>
    <w:rsid w:val="00D2303A"/>
    <w:rsid w:val="00D24904"/>
    <w:rsid w:val="00D25927"/>
    <w:rsid w:val="00D25B63"/>
    <w:rsid w:val="00D27531"/>
    <w:rsid w:val="00D31400"/>
    <w:rsid w:val="00D31667"/>
    <w:rsid w:val="00D326D6"/>
    <w:rsid w:val="00D3438F"/>
    <w:rsid w:val="00D35A1C"/>
    <w:rsid w:val="00D368AC"/>
    <w:rsid w:val="00D37757"/>
    <w:rsid w:val="00D37F6E"/>
    <w:rsid w:val="00D40940"/>
    <w:rsid w:val="00D41ED6"/>
    <w:rsid w:val="00D4268C"/>
    <w:rsid w:val="00D43B6F"/>
    <w:rsid w:val="00D43DDB"/>
    <w:rsid w:val="00D43F62"/>
    <w:rsid w:val="00D44978"/>
    <w:rsid w:val="00D44CFE"/>
    <w:rsid w:val="00D467F8"/>
    <w:rsid w:val="00D479CF"/>
    <w:rsid w:val="00D479E4"/>
    <w:rsid w:val="00D47A28"/>
    <w:rsid w:val="00D508E7"/>
    <w:rsid w:val="00D521F0"/>
    <w:rsid w:val="00D546C6"/>
    <w:rsid w:val="00D55B31"/>
    <w:rsid w:val="00D5644F"/>
    <w:rsid w:val="00D567D4"/>
    <w:rsid w:val="00D60051"/>
    <w:rsid w:val="00D613D4"/>
    <w:rsid w:val="00D621C4"/>
    <w:rsid w:val="00D62831"/>
    <w:rsid w:val="00D630F6"/>
    <w:rsid w:val="00D645C2"/>
    <w:rsid w:val="00D64D21"/>
    <w:rsid w:val="00D64EA4"/>
    <w:rsid w:val="00D653F8"/>
    <w:rsid w:val="00D659EA"/>
    <w:rsid w:val="00D673A8"/>
    <w:rsid w:val="00D67DFB"/>
    <w:rsid w:val="00D7017E"/>
    <w:rsid w:val="00D7022F"/>
    <w:rsid w:val="00D716FB"/>
    <w:rsid w:val="00D72B35"/>
    <w:rsid w:val="00D7384F"/>
    <w:rsid w:val="00D73D99"/>
    <w:rsid w:val="00D74F91"/>
    <w:rsid w:val="00D751BA"/>
    <w:rsid w:val="00D75509"/>
    <w:rsid w:val="00D75DF1"/>
    <w:rsid w:val="00D761F4"/>
    <w:rsid w:val="00D77F4E"/>
    <w:rsid w:val="00D8052D"/>
    <w:rsid w:val="00D80BF1"/>
    <w:rsid w:val="00D810D0"/>
    <w:rsid w:val="00D819F5"/>
    <w:rsid w:val="00D81E6A"/>
    <w:rsid w:val="00D8296C"/>
    <w:rsid w:val="00D83482"/>
    <w:rsid w:val="00D8365E"/>
    <w:rsid w:val="00D849B2"/>
    <w:rsid w:val="00D851A0"/>
    <w:rsid w:val="00D859B6"/>
    <w:rsid w:val="00D869B7"/>
    <w:rsid w:val="00D86D7F"/>
    <w:rsid w:val="00D874E4"/>
    <w:rsid w:val="00D8767D"/>
    <w:rsid w:val="00D917D4"/>
    <w:rsid w:val="00D9279E"/>
    <w:rsid w:val="00D940D5"/>
    <w:rsid w:val="00D942B7"/>
    <w:rsid w:val="00D95EC3"/>
    <w:rsid w:val="00D95F51"/>
    <w:rsid w:val="00D965D8"/>
    <w:rsid w:val="00DA1065"/>
    <w:rsid w:val="00DA1102"/>
    <w:rsid w:val="00DA14E9"/>
    <w:rsid w:val="00DA1CA4"/>
    <w:rsid w:val="00DA217B"/>
    <w:rsid w:val="00DA45B5"/>
    <w:rsid w:val="00DA5C79"/>
    <w:rsid w:val="00DB0B57"/>
    <w:rsid w:val="00DB1745"/>
    <w:rsid w:val="00DB197F"/>
    <w:rsid w:val="00DB2E10"/>
    <w:rsid w:val="00DB308F"/>
    <w:rsid w:val="00DB3360"/>
    <w:rsid w:val="00DB356D"/>
    <w:rsid w:val="00DB491C"/>
    <w:rsid w:val="00DB4C36"/>
    <w:rsid w:val="00DB4C69"/>
    <w:rsid w:val="00DB6312"/>
    <w:rsid w:val="00DB71F9"/>
    <w:rsid w:val="00DB7CBC"/>
    <w:rsid w:val="00DB7D9A"/>
    <w:rsid w:val="00DC0C4B"/>
    <w:rsid w:val="00DC17FE"/>
    <w:rsid w:val="00DC2C4B"/>
    <w:rsid w:val="00DC67F1"/>
    <w:rsid w:val="00DC6F2A"/>
    <w:rsid w:val="00DC72E6"/>
    <w:rsid w:val="00DD1E87"/>
    <w:rsid w:val="00DD3615"/>
    <w:rsid w:val="00DD37E2"/>
    <w:rsid w:val="00DD51DE"/>
    <w:rsid w:val="00DD54C0"/>
    <w:rsid w:val="00DD5F51"/>
    <w:rsid w:val="00DD74C8"/>
    <w:rsid w:val="00DD7D5D"/>
    <w:rsid w:val="00DE0E08"/>
    <w:rsid w:val="00DE25B9"/>
    <w:rsid w:val="00DE2D11"/>
    <w:rsid w:val="00DE2FBD"/>
    <w:rsid w:val="00DE4DBF"/>
    <w:rsid w:val="00DE6316"/>
    <w:rsid w:val="00DE6F3B"/>
    <w:rsid w:val="00DE6F6B"/>
    <w:rsid w:val="00DF00FE"/>
    <w:rsid w:val="00DF0E09"/>
    <w:rsid w:val="00DF0FBF"/>
    <w:rsid w:val="00DF1B56"/>
    <w:rsid w:val="00DF2624"/>
    <w:rsid w:val="00DF2898"/>
    <w:rsid w:val="00DF2AAA"/>
    <w:rsid w:val="00DF305F"/>
    <w:rsid w:val="00DF3586"/>
    <w:rsid w:val="00DF359C"/>
    <w:rsid w:val="00DF4894"/>
    <w:rsid w:val="00DF48BC"/>
    <w:rsid w:val="00DF4D57"/>
    <w:rsid w:val="00DF4DBB"/>
    <w:rsid w:val="00DF572A"/>
    <w:rsid w:val="00DF6C0D"/>
    <w:rsid w:val="00DF7A5A"/>
    <w:rsid w:val="00DF7FCA"/>
    <w:rsid w:val="00E002CE"/>
    <w:rsid w:val="00E00B67"/>
    <w:rsid w:val="00E02EAE"/>
    <w:rsid w:val="00E0302B"/>
    <w:rsid w:val="00E03E7A"/>
    <w:rsid w:val="00E1051F"/>
    <w:rsid w:val="00E10732"/>
    <w:rsid w:val="00E121C7"/>
    <w:rsid w:val="00E123DD"/>
    <w:rsid w:val="00E12408"/>
    <w:rsid w:val="00E131A3"/>
    <w:rsid w:val="00E131BA"/>
    <w:rsid w:val="00E13602"/>
    <w:rsid w:val="00E1441A"/>
    <w:rsid w:val="00E15582"/>
    <w:rsid w:val="00E1666B"/>
    <w:rsid w:val="00E1685C"/>
    <w:rsid w:val="00E177ED"/>
    <w:rsid w:val="00E20F37"/>
    <w:rsid w:val="00E218C8"/>
    <w:rsid w:val="00E22E0C"/>
    <w:rsid w:val="00E24098"/>
    <w:rsid w:val="00E2661A"/>
    <w:rsid w:val="00E27311"/>
    <w:rsid w:val="00E31418"/>
    <w:rsid w:val="00E32327"/>
    <w:rsid w:val="00E32C32"/>
    <w:rsid w:val="00E3318B"/>
    <w:rsid w:val="00E33778"/>
    <w:rsid w:val="00E36B95"/>
    <w:rsid w:val="00E377E1"/>
    <w:rsid w:val="00E4022A"/>
    <w:rsid w:val="00E40FE5"/>
    <w:rsid w:val="00E411E5"/>
    <w:rsid w:val="00E41C1A"/>
    <w:rsid w:val="00E41DC1"/>
    <w:rsid w:val="00E42924"/>
    <w:rsid w:val="00E43359"/>
    <w:rsid w:val="00E4452B"/>
    <w:rsid w:val="00E44E6D"/>
    <w:rsid w:val="00E5031E"/>
    <w:rsid w:val="00E505A5"/>
    <w:rsid w:val="00E5100A"/>
    <w:rsid w:val="00E51196"/>
    <w:rsid w:val="00E514CE"/>
    <w:rsid w:val="00E517D0"/>
    <w:rsid w:val="00E52C63"/>
    <w:rsid w:val="00E53639"/>
    <w:rsid w:val="00E53909"/>
    <w:rsid w:val="00E5396E"/>
    <w:rsid w:val="00E55A09"/>
    <w:rsid w:val="00E56096"/>
    <w:rsid w:val="00E56307"/>
    <w:rsid w:val="00E57BF1"/>
    <w:rsid w:val="00E6036C"/>
    <w:rsid w:val="00E61ECD"/>
    <w:rsid w:val="00E63299"/>
    <w:rsid w:val="00E63883"/>
    <w:rsid w:val="00E658C7"/>
    <w:rsid w:val="00E659A9"/>
    <w:rsid w:val="00E67775"/>
    <w:rsid w:val="00E67F43"/>
    <w:rsid w:val="00E70D97"/>
    <w:rsid w:val="00E7126C"/>
    <w:rsid w:val="00E71A75"/>
    <w:rsid w:val="00E71EA6"/>
    <w:rsid w:val="00E72892"/>
    <w:rsid w:val="00E728FE"/>
    <w:rsid w:val="00E73724"/>
    <w:rsid w:val="00E737D3"/>
    <w:rsid w:val="00E754C2"/>
    <w:rsid w:val="00E75C35"/>
    <w:rsid w:val="00E76D31"/>
    <w:rsid w:val="00E77839"/>
    <w:rsid w:val="00E77901"/>
    <w:rsid w:val="00E81530"/>
    <w:rsid w:val="00E82CC3"/>
    <w:rsid w:val="00E84AB3"/>
    <w:rsid w:val="00E85B3D"/>
    <w:rsid w:val="00E86877"/>
    <w:rsid w:val="00E86BD4"/>
    <w:rsid w:val="00E87462"/>
    <w:rsid w:val="00E87BA5"/>
    <w:rsid w:val="00E87E41"/>
    <w:rsid w:val="00E9060B"/>
    <w:rsid w:val="00E92028"/>
    <w:rsid w:val="00E92473"/>
    <w:rsid w:val="00E93173"/>
    <w:rsid w:val="00E9596B"/>
    <w:rsid w:val="00E963EE"/>
    <w:rsid w:val="00E96702"/>
    <w:rsid w:val="00E96F41"/>
    <w:rsid w:val="00EA1412"/>
    <w:rsid w:val="00EA27BE"/>
    <w:rsid w:val="00EA2D56"/>
    <w:rsid w:val="00EA2DBC"/>
    <w:rsid w:val="00EA319D"/>
    <w:rsid w:val="00EA39C1"/>
    <w:rsid w:val="00EA5436"/>
    <w:rsid w:val="00EA61F4"/>
    <w:rsid w:val="00EA6428"/>
    <w:rsid w:val="00EA6D4C"/>
    <w:rsid w:val="00EB05AF"/>
    <w:rsid w:val="00EB1AB7"/>
    <w:rsid w:val="00EB2D74"/>
    <w:rsid w:val="00EB389B"/>
    <w:rsid w:val="00EB42D4"/>
    <w:rsid w:val="00EB5A06"/>
    <w:rsid w:val="00EB5A83"/>
    <w:rsid w:val="00EB69B8"/>
    <w:rsid w:val="00EB76EF"/>
    <w:rsid w:val="00EC025A"/>
    <w:rsid w:val="00EC3C2E"/>
    <w:rsid w:val="00EC4578"/>
    <w:rsid w:val="00EC5205"/>
    <w:rsid w:val="00EC5D0C"/>
    <w:rsid w:val="00EC62D0"/>
    <w:rsid w:val="00EC6A8A"/>
    <w:rsid w:val="00ED10FC"/>
    <w:rsid w:val="00ED1229"/>
    <w:rsid w:val="00ED1D56"/>
    <w:rsid w:val="00ED24D4"/>
    <w:rsid w:val="00ED2634"/>
    <w:rsid w:val="00ED29FF"/>
    <w:rsid w:val="00ED35EA"/>
    <w:rsid w:val="00ED4CB2"/>
    <w:rsid w:val="00ED4DAF"/>
    <w:rsid w:val="00ED6062"/>
    <w:rsid w:val="00ED6254"/>
    <w:rsid w:val="00ED63AF"/>
    <w:rsid w:val="00ED721F"/>
    <w:rsid w:val="00ED7733"/>
    <w:rsid w:val="00EE0A6B"/>
    <w:rsid w:val="00EE1B87"/>
    <w:rsid w:val="00EE1E82"/>
    <w:rsid w:val="00EE35D8"/>
    <w:rsid w:val="00EE36CC"/>
    <w:rsid w:val="00EE3AE8"/>
    <w:rsid w:val="00EE41DB"/>
    <w:rsid w:val="00EE4C96"/>
    <w:rsid w:val="00EE507F"/>
    <w:rsid w:val="00EE6192"/>
    <w:rsid w:val="00EE619C"/>
    <w:rsid w:val="00EE6D22"/>
    <w:rsid w:val="00EE79BE"/>
    <w:rsid w:val="00EF0333"/>
    <w:rsid w:val="00EF04F6"/>
    <w:rsid w:val="00EF0867"/>
    <w:rsid w:val="00EF099F"/>
    <w:rsid w:val="00EF14C1"/>
    <w:rsid w:val="00EF315A"/>
    <w:rsid w:val="00EF3930"/>
    <w:rsid w:val="00EF49F6"/>
    <w:rsid w:val="00EF4FB0"/>
    <w:rsid w:val="00EF5745"/>
    <w:rsid w:val="00EF6764"/>
    <w:rsid w:val="00EF7BBD"/>
    <w:rsid w:val="00F00B60"/>
    <w:rsid w:val="00F012B0"/>
    <w:rsid w:val="00F01411"/>
    <w:rsid w:val="00F01E66"/>
    <w:rsid w:val="00F03024"/>
    <w:rsid w:val="00F040A1"/>
    <w:rsid w:val="00F0458A"/>
    <w:rsid w:val="00F04B38"/>
    <w:rsid w:val="00F0589C"/>
    <w:rsid w:val="00F05BDE"/>
    <w:rsid w:val="00F1014A"/>
    <w:rsid w:val="00F11321"/>
    <w:rsid w:val="00F11571"/>
    <w:rsid w:val="00F12092"/>
    <w:rsid w:val="00F12265"/>
    <w:rsid w:val="00F125DA"/>
    <w:rsid w:val="00F12F50"/>
    <w:rsid w:val="00F144CD"/>
    <w:rsid w:val="00F153F7"/>
    <w:rsid w:val="00F17DFD"/>
    <w:rsid w:val="00F203F2"/>
    <w:rsid w:val="00F20C8E"/>
    <w:rsid w:val="00F21039"/>
    <w:rsid w:val="00F21265"/>
    <w:rsid w:val="00F21BB7"/>
    <w:rsid w:val="00F22953"/>
    <w:rsid w:val="00F23181"/>
    <w:rsid w:val="00F24F3F"/>
    <w:rsid w:val="00F24FFF"/>
    <w:rsid w:val="00F25565"/>
    <w:rsid w:val="00F256AB"/>
    <w:rsid w:val="00F25F21"/>
    <w:rsid w:val="00F26AB9"/>
    <w:rsid w:val="00F30395"/>
    <w:rsid w:val="00F31369"/>
    <w:rsid w:val="00F318CC"/>
    <w:rsid w:val="00F31B8C"/>
    <w:rsid w:val="00F33028"/>
    <w:rsid w:val="00F337CE"/>
    <w:rsid w:val="00F34E8F"/>
    <w:rsid w:val="00F35A0C"/>
    <w:rsid w:val="00F3626D"/>
    <w:rsid w:val="00F36FA8"/>
    <w:rsid w:val="00F37356"/>
    <w:rsid w:val="00F37D33"/>
    <w:rsid w:val="00F40E79"/>
    <w:rsid w:val="00F4267E"/>
    <w:rsid w:val="00F44A6E"/>
    <w:rsid w:val="00F455ED"/>
    <w:rsid w:val="00F45DDF"/>
    <w:rsid w:val="00F46372"/>
    <w:rsid w:val="00F47E65"/>
    <w:rsid w:val="00F50C88"/>
    <w:rsid w:val="00F50E42"/>
    <w:rsid w:val="00F51637"/>
    <w:rsid w:val="00F519E8"/>
    <w:rsid w:val="00F51ACC"/>
    <w:rsid w:val="00F52127"/>
    <w:rsid w:val="00F53F61"/>
    <w:rsid w:val="00F54540"/>
    <w:rsid w:val="00F56006"/>
    <w:rsid w:val="00F562A8"/>
    <w:rsid w:val="00F5647E"/>
    <w:rsid w:val="00F56DBB"/>
    <w:rsid w:val="00F56E1C"/>
    <w:rsid w:val="00F61549"/>
    <w:rsid w:val="00F61AB5"/>
    <w:rsid w:val="00F61D6A"/>
    <w:rsid w:val="00F61D99"/>
    <w:rsid w:val="00F61EF0"/>
    <w:rsid w:val="00F61F2C"/>
    <w:rsid w:val="00F62071"/>
    <w:rsid w:val="00F63B03"/>
    <w:rsid w:val="00F64BD5"/>
    <w:rsid w:val="00F67A20"/>
    <w:rsid w:val="00F707DE"/>
    <w:rsid w:val="00F708FF"/>
    <w:rsid w:val="00F71578"/>
    <w:rsid w:val="00F71907"/>
    <w:rsid w:val="00F74267"/>
    <w:rsid w:val="00F74667"/>
    <w:rsid w:val="00F74671"/>
    <w:rsid w:val="00F7541E"/>
    <w:rsid w:val="00F774F2"/>
    <w:rsid w:val="00F8075D"/>
    <w:rsid w:val="00F808B0"/>
    <w:rsid w:val="00F825A7"/>
    <w:rsid w:val="00F83BED"/>
    <w:rsid w:val="00F84828"/>
    <w:rsid w:val="00F84F6D"/>
    <w:rsid w:val="00F86407"/>
    <w:rsid w:val="00F868CB"/>
    <w:rsid w:val="00F87ABF"/>
    <w:rsid w:val="00F90356"/>
    <w:rsid w:val="00F90786"/>
    <w:rsid w:val="00F908F9"/>
    <w:rsid w:val="00F90DE5"/>
    <w:rsid w:val="00F919C5"/>
    <w:rsid w:val="00F91D4D"/>
    <w:rsid w:val="00F92251"/>
    <w:rsid w:val="00F92E97"/>
    <w:rsid w:val="00F93646"/>
    <w:rsid w:val="00F950E4"/>
    <w:rsid w:val="00F95657"/>
    <w:rsid w:val="00F95693"/>
    <w:rsid w:val="00F95CA4"/>
    <w:rsid w:val="00F962C0"/>
    <w:rsid w:val="00F96471"/>
    <w:rsid w:val="00F96FC0"/>
    <w:rsid w:val="00F97775"/>
    <w:rsid w:val="00FA0B12"/>
    <w:rsid w:val="00FA0F47"/>
    <w:rsid w:val="00FA1180"/>
    <w:rsid w:val="00FA19AA"/>
    <w:rsid w:val="00FA200D"/>
    <w:rsid w:val="00FA4C94"/>
    <w:rsid w:val="00FA631E"/>
    <w:rsid w:val="00FA6F90"/>
    <w:rsid w:val="00FB1504"/>
    <w:rsid w:val="00FB1F2C"/>
    <w:rsid w:val="00FB2811"/>
    <w:rsid w:val="00FB3744"/>
    <w:rsid w:val="00FB46B9"/>
    <w:rsid w:val="00FB4FE9"/>
    <w:rsid w:val="00FB6368"/>
    <w:rsid w:val="00FB7406"/>
    <w:rsid w:val="00FC14D4"/>
    <w:rsid w:val="00FC192E"/>
    <w:rsid w:val="00FC3F55"/>
    <w:rsid w:val="00FC5468"/>
    <w:rsid w:val="00FC6096"/>
    <w:rsid w:val="00FC64D5"/>
    <w:rsid w:val="00FC690E"/>
    <w:rsid w:val="00FD1655"/>
    <w:rsid w:val="00FD3513"/>
    <w:rsid w:val="00FD4262"/>
    <w:rsid w:val="00FD43E2"/>
    <w:rsid w:val="00FD4451"/>
    <w:rsid w:val="00FD5A6B"/>
    <w:rsid w:val="00FD735B"/>
    <w:rsid w:val="00FD7A5F"/>
    <w:rsid w:val="00FE00BC"/>
    <w:rsid w:val="00FE1AC4"/>
    <w:rsid w:val="00FE1F3C"/>
    <w:rsid w:val="00FE23A7"/>
    <w:rsid w:val="00FE284D"/>
    <w:rsid w:val="00FE2C56"/>
    <w:rsid w:val="00FE2CDC"/>
    <w:rsid w:val="00FE2E62"/>
    <w:rsid w:val="00FE4E89"/>
    <w:rsid w:val="00FE4E9F"/>
    <w:rsid w:val="00FE5104"/>
    <w:rsid w:val="00FE5EF1"/>
    <w:rsid w:val="00FE73C8"/>
    <w:rsid w:val="00FF0D12"/>
    <w:rsid w:val="00FF12B4"/>
    <w:rsid w:val="00FF1BF6"/>
    <w:rsid w:val="00FF3E09"/>
    <w:rsid w:val="00FF454C"/>
    <w:rsid w:val="00FF5D3F"/>
    <w:rsid w:val="00FF6475"/>
    <w:rsid w:val="00FF702E"/>
    <w:rsid w:val="00FF70C6"/>
    <w:rsid w:val="01455B69"/>
    <w:rsid w:val="01EB70F1"/>
    <w:rsid w:val="025739FF"/>
    <w:rsid w:val="02DF1412"/>
    <w:rsid w:val="032F0524"/>
    <w:rsid w:val="0A5600BA"/>
    <w:rsid w:val="0AC10ED5"/>
    <w:rsid w:val="0E3C57E3"/>
    <w:rsid w:val="1710475A"/>
    <w:rsid w:val="1A442511"/>
    <w:rsid w:val="1A537E25"/>
    <w:rsid w:val="1B236668"/>
    <w:rsid w:val="1EBE0D79"/>
    <w:rsid w:val="1F5A5913"/>
    <w:rsid w:val="20543945"/>
    <w:rsid w:val="22B26F79"/>
    <w:rsid w:val="258078C5"/>
    <w:rsid w:val="265F7899"/>
    <w:rsid w:val="279B586D"/>
    <w:rsid w:val="2E7B1178"/>
    <w:rsid w:val="331D3E10"/>
    <w:rsid w:val="37834F88"/>
    <w:rsid w:val="3B8526FD"/>
    <w:rsid w:val="3E5E4180"/>
    <w:rsid w:val="40B175D2"/>
    <w:rsid w:val="412B2E46"/>
    <w:rsid w:val="448E6076"/>
    <w:rsid w:val="4A967E94"/>
    <w:rsid w:val="4B1C03B6"/>
    <w:rsid w:val="4E0B64D9"/>
    <w:rsid w:val="4EB924D1"/>
    <w:rsid w:val="54956CD6"/>
    <w:rsid w:val="5A7F2080"/>
    <w:rsid w:val="5AEB5C08"/>
    <w:rsid w:val="5CDB39CF"/>
    <w:rsid w:val="644831CC"/>
    <w:rsid w:val="67A85C5F"/>
    <w:rsid w:val="68D85C95"/>
    <w:rsid w:val="6C1621A7"/>
    <w:rsid w:val="6C227160"/>
    <w:rsid w:val="6C8608FA"/>
    <w:rsid w:val="6EAF52E5"/>
    <w:rsid w:val="6FF31646"/>
    <w:rsid w:val="71117DB9"/>
    <w:rsid w:val="734A0C96"/>
    <w:rsid w:val="78727A02"/>
    <w:rsid w:val="7B337062"/>
    <w:rsid w:val="7DAA7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numPr>
        <w:ilvl w:val="0"/>
        <w:numId w:val="1"/>
      </w:numPr>
      <w:tabs>
        <w:tab w:val="left" w:pos="425"/>
        <w:tab w:val="left" w:pos="709"/>
      </w:tabs>
      <w:snapToGrid w:val="0"/>
      <w:spacing w:before="50" w:beforeLines="50" w:line="360" w:lineRule="auto"/>
      <w:jc w:val="left"/>
      <w:outlineLvl w:val="0"/>
    </w:pPr>
    <w:rPr>
      <w:rFonts w:eastAsia="微软雅黑"/>
      <w:b/>
      <w:bCs/>
      <w:color w:val="000000"/>
      <w:kern w:val="44"/>
      <w:sz w:val="28"/>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ind w:left="438"/>
      <w:jc w:val="left"/>
    </w:pPr>
    <w:rPr>
      <w:rFonts w:ascii="宋体" w:hAnsi="宋体" w:eastAsia="宋体" w:cs="宋体"/>
      <w:kern w:val="0"/>
      <w:sz w:val="28"/>
      <w:szCs w:val="28"/>
      <w:lang w:val="zh-CN" w:bidi="zh-CN"/>
    </w:rPr>
  </w:style>
  <w:style w:type="paragraph" w:styleId="4">
    <w:name w:val="Balloon Text"/>
    <w:basedOn w:val="1"/>
    <w:link w:val="15"/>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Table Paragraph"/>
    <w:basedOn w:val="1"/>
    <w:qFormat/>
    <w:uiPriority w:val="1"/>
    <w:pPr>
      <w:autoSpaceDE w:val="0"/>
      <w:autoSpaceDN w:val="0"/>
      <w:jc w:val="left"/>
    </w:pPr>
    <w:rPr>
      <w:rFonts w:ascii="宋体" w:hAnsi="宋体" w:eastAsia="宋体" w:cs="宋体"/>
      <w:kern w:val="0"/>
      <w:sz w:val="22"/>
      <w:lang w:val="zh-CN" w:bidi="zh-CN"/>
    </w:rPr>
  </w:style>
  <w:style w:type="character" w:customStyle="1" w:styleId="11">
    <w:name w:val="正文文本 Char"/>
    <w:basedOn w:val="9"/>
    <w:link w:val="3"/>
    <w:qFormat/>
    <w:uiPriority w:val="1"/>
    <w:rPr>
      <w:rFonts w:ascii="宋体" w:hAnsi="宋体" w:eastAsia="宋体" w:cs="宋体"/>
      <w:kern w:val="0"/>
      <w:sz w:val="28"/>
      <w:szCs w:val="28"/>
      <w:lang w:val="zh-CN" w:bidi="zh-CN"/>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paragraph" w:customStyle="1" w:styleId="14">
    <w:name w:val="Default"/>
    <w:unhideWhenUsed/>
    <w:qFormat/>
    <w:uiPriority w:val="99"/>
    <w:pPr>
      <w:widowControl w:val="0"/>
      <w:autoSpaceDE w:val="0"/>
      <w:autoSpaceDN w:val="0"/>
      <w:adjustRightInd w:val="0"/>
    </w:pPr>
    <w:rPr>
      <w:rFonts w:ascii="仿宋" w:hAnsi="仿宋" w:eastAsia="仿宋" w:cs="Times New Roman"/>
      <w:color w:val="000000"/>
      <w:sz w:val="24"/>
      <w:lang w:val="en-US" w:eastAsia="zh-CN" w:bidi="ar-SA"/>
    </w:rPr>
  </w:style>
  <w:style w:type="character" w:customStyle="1" w:styleId="15">
    <w:name w:val="批注框文本 Char"/>
    <w:basedOn w:val="9"/>
    <w:link w:val="4"/>
    <w:semiHidden/>
    <w:qFormat/>
    <w:uiPriority w:val="99"/>
    <w:rPr>
      <w:rFonts w:asciiTheme="minorHAnsi" w:hAnsiTheme="minorHAnsi" w:eastAsiaTheme="minorEastAsia" w:cstheme="minorBidi"/>
      <w:kern w:val="2"/>
      <w:sz w:val="18"/>
      <w:szCs w:val="18"/>
    </w:rPr>
  </w:style>
  <w:style w:type="paragraph" w:customStyle="1" w:styleId="16">
    <w:name w:val="样式 标题 1 + 段前: 6 磅 段后: 6 磅"/>
    <w:basedOn w:val="2"/>
    <w:qFormat/>
    <w:uiPriority w:val="0"/>
    <w:pPr>
      <w:spacing w:before="120" w:after="120"/>
    </w:pPr>
    <w:rPr>
      <w:rFonts w:eastAsia="楷体_GB2312" w:cs="宋体"/>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523</Words>
  <Characters>2986</Characters>
  <Lines>24</Lines>
  <Paragraphs>7</Paragraphs>
  <TotalTime>25</TotalTime>
  <ScaleCrop>false</ScaleCrop>
  <LinksUpToDate>false</LinksUpToDate>
  <CharactersWithSpaces>3502</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2021-01-26T08:08:00Z</dcterms:created>
  <dc:creator>cai</dc:creator>
  <cp:lastModifiedBy>Lenovo</cp:lastModifiedBy>
  <cp:lastPrinted>2021-12-24T00:53:00Z</cp:lastPrinted>
  <dcterms:modified xsi:type="dcterms:W3CDTF">2022-03-30T01:07:17Z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10D3272C14594E71B830CBE63DD504B8</vt:lpwstr>
  </property>
</Properties>
</file>