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keepLines/>
        <w:pageBreakBefore w:val="0"/>
        <w:widowControl w:val="0"/>
        <w:kinsoku/>
        <w:wordWrap/>
        <w:overflowPunct/>
        <w:topLinePunct w:val="0"/>
        <w:autoSpaceDE/>
        <w:autoSpaceDN/>
        <w:bidi w:val="0"/>
        <w:adjustRightInd w:val="0"/>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rPr>
      </w:pPr>
      <w:bookmarkStart w:id="0" w:name="_Toc301384598"/>
      <w:r>
        <w:rPr>
          <w:rFonts w:hint="eastAsia" w:ascii="方正小标宋简体" w:hAnsi="方正小标宋简体" w:eastAsia="方正小标宋简体" w:cs="方正小标宋简体"/>
          <w:b w:val="0"/>
          <w:bCs w:val="0"/>
          <w:sz w:val="44"/>
          <w:szCs w:val="44"/>
        </w:rPr>
        <w:t>温州医科大学</w:t>
      </w:r>
      <w:r>
        <w:rPr>
          <w:rFonts w:hint="eastAsia" w:ascii="方正小标宋简体" w:hAnsi="方正小标宋简体" w:eastAsia="方正小标宋简体" w:cs="方正小标宋简体"/>
          <w:b w:val="0"/>
          <w:bCs w:val="0"/>
          <w:sz w:val="44"/>
          <w:szCs w:val="44"/>
          <w:lang w:val="en-US" w:eastAsia="zh-CN"/>
        </w:rPr>
        <w:t>中</w:t>
      </w:r>
      <w:r>
        <w:rPr>
          <w:rFonts w:hint="eastAsia" w:ascii="方正小标宋简体" w:hAnsi="方正小标宋简体" w:eastAsia="方正小标宋简体" w:cs="方正小标宋简体"/>
          <w:b w:val="0"/>
          <w:bCs w:val="0"/>
          <w:sz w:val="44"/>
          <w:szCs w:val="44"/>
        </w:rPr>
        <w:t>药学学术学位</w:t>
      </w:r>
    </w:p>
    <w:p>
      <w:pPr>
        <w:pStyle w:val="12"/>
        <w:keepNext/>
        <w:keepLines/>
        <w:pageBreakBefore w:val="0"/>
        <w:widowControl w:val="0"/>
        <w:kinsoku/>
        <w:wordWrap/>
        <w:overflowPunct/>
        <w:topLinePunct w:val="0"/>
        <w:autoSpaceDE/>
        <w:autoSpaceDN/>
        <w:bidi w:val="0"/>
        <w:adjustRightInd w:val="0"/>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硕士研究生培养方案</w:t>
      </w:r>
      <w:bookmarkEnd w:id="0"/>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根据《中华人民共和国学位条例》、《中华人民共和国学位条例暂行实施法》、</w:t>
      </w:r>
      <w:r>
        <w:rPr>
          <w:rFonts w:hint="default" w:ascii="Times New Roman" w:hAnsi="Times New Roman" w:eastAsia="仿宋_GB2312" w:cs="Times New Roman"/>
          <w:kern w:val="2"/>
          <w:sz w:val="32"/>
          <w:szCs w:val="32"/>
          <w:lang w:val="en-US" w:eastAsia="zh-CN"/>
        </w:rPr>
        <w:t>中药学</w:t>
      </w:r>
      <w:r>
        <w:rPr>
          <w:rFonts w:hint="default" w:ascii="Times New Roman" w:hAnsi="Times New Roman" w:eastAsia="仿宋_GB2312" w:cs="Times New Roman"/>
          <w:kern w:val="2"/>
          <w:sz w:val="32"/>
          <w:szCs w:val="32"/>
          <w:lang w:eastAsia="zh-CN"/>
        </w:rPr>
        <w:t>硕士学位基本要求和教育部关于加强研究生培养的有关精神，结合我校实际，制定本培养方案。</w:t>
      </w:r>
    </w:p>
    <w:p>
      <w:pPr>
        <w:adjustRightInd/>
        <w:spacing w:line="560" w:lineRule="exact"/>
        <w:ind w:firstLine="640" w:firstLineChars="200"/>
        <w:rPr>
          <w:rFonts w:hint="default" w:ascii="Times New Roman" w:hAnsi="Times New Roman" w:eastAsia="黑体" w:cs="Times New Roman"/>
          <w:kern w:val="2"/>
          <w:sz w:val="32"/>
          <w:szCs w:val="32"/>
          <w:lang w:eastAsia="zh-CN"/>
        </w:rPr>
      </w:pPr>
      <w:r>
        <w:rPr>
          <w:rFonts w:hint="default" w:ascii="Times New Roman" w:hAnsi="Times New Roman" w:eastAsia="黑体" w:cs="Times New Roman"/>
          <w:kern w:val="2"/>
          <w:sz w:val="32"/>
          <w:szCs w:val="32"/>
          <w:lang w:eastAsia="zh-CN"/>
        </w:rPr>
        <w:t>一、培养目标</w:t>
      </w:r>
    </w:p>
    <w:p>
      <w:pPr>
        <w:adjustRightInd/>
        <w:spacing w:line="560" w:lineRule="exact"/>
        <w:ind w:firstLine="640" w:firstLineChars="200"/>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eastAsia="zh-CN"/>
        </w:rPr>
        <w:t>培养适应社会主义现代化建设和满足中医药事业与民众健康产业发展需要，德、智、体、美全面发展，具备良好的职业道德、专业素质与科学素养的中药专业人才。</w:t>
      </w:r>
      <w:r>
        <w:rPr>
          <w:rFonts w:hint="default" w:ascii="Times New Roman" w:hAnsi="Times New Roman" w:eastAsia="仿宋_GB2312" w:cs="Times New Roman"/>
          <w:kern w:val="2"/>
          <w:sz w:val="32"/>
          <w:szCs w:val="32"/>
          <w:lang w:val="en-US" w:eastAsia="zh-CN"/>
        </w:rPr>
        <w:t>具体要求为：</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（一）热爱祖国，遵纪守法，品行端正，具有良好的道德品质和修养，有献身科学的事业心，能积极为社会主义现代化建设服务。</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（二）学风严谨，重视理论联系实际，掌握本学科坚实的基础理论和系统的专业知识，具有从事科学研究工作或独立担负专门技术工作的能力。</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（三）掌握一门外国语，具有较熟练地阅读本专业外文资料的能力及一定的听、说、写能力。</w:t>
      </w:r>
    </w:p>
    <w:p>
      <w:pPr>
        <w:adjustRightInd/>
        <w:spacing w:line="560" w:lineRule="exact"/>
        <w:ind w:firstLine="640" w:firstLineChars="200"/>
        <w:rPr>
          <w:rFonts w:hint="default" w:ascii="Times New Roman" w:hAnsi="Times New Roman" w:eastAsia="黑体" w:cs="Times New Roman"/>
          <w:kern w:val="2"/>
          <w:sz w:val="32"/>
          <w:szCs w:val="32"/>
          <w:lang w:eastAsia="zh-CN"/>
        </w:rPr>
      </w:pPr>
      <w:r>
        <w:rPr>
          <w:rFonts w:hint="default" w:ascii="Times New Roman" w:hAnsi="Times New Roman" w:eastAsia="黑体" w:cs="Times New Roman"/>
          <w:kern w:val="2"/>
          <w:sz w:val="32"/>
          <w:szCs w:val="32"/>
          <w:lang w:eastAsia="zh-CN"/>
        </w:rPr>
        <w:t>二、学习年限</w:t>
      </w:r>
    </w:p>
    <w:p>
      <w:pPr>
        <w:adjustRightInd/>
        <w:spacing w:line="560" w:lineRule="exact"/>
        <w:ind w:firstLine="640" w:firstLineChars="200"/>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硕士研究生学制为3年，在规定学习年限内不能完成学业者，可以申请延长学习年限。最长学习年限不得超过5年（含休学、保留学籍和保留入学资格）。超过最长学习年限尚未完成学业者，不予以毕业或授予学位。</w:t>
      </w:r>
    </w:p>
    <w:p>
      <w:pPr>
        <w:adjustRightInd/>
        <w:spacing w:line="560" w:lineRule="exact"/>
        <w:ind w:firstLine="640" w:firstLineChars="200"/>
        <w:rPr>
          <w:rFonts w:hint="default" w:ascii="Times New Roman" w:hAnsi="Times New Roman" w:eastAsia="黑体" w:cs="Times New Roman"/>
          <w:kern w:val="2"/>
          <w:sz w:val="32"/>
          <w:szCs w:val="32"/>
          <w:lang w:val="en-US" w:eastAsia="zh-CN"/>
        </w:rPr>
      </w:pPr>
      <w:r>
        <w:rPr>
          <w:rFonts w:hint="default" w:ascii="Times New Roman" w:hAnsi="Times New Roman" w:eastAsia="黑体" w:cs="Times New Roman"/>
          <w:kern w:val="2"/>
          <w:sz w:val="32"/>
          <w:szCs w:val="32"/>
          <w:lang w:val="en-US" w:eastAsia="zh-CN"/>
        </w:rPr>
        <w:t>三</w:t>
      </w:r>
      <w:r>
        <w:rPr>
          <w:rFonts w:hint="default" w:ascii="Times New Roman" w:hAnsi="Times New Roman" w:eastAsia="黑体" w:cs="Times New Roman"/>
          <w:kern w:val="2"/>
          <w:sz w:val="32"/>
          <w:szCs w:val="32"/>
          <w:lang w:eastAsia="zh-CN"/>
        </w:rPr>
        <w:t>、</w:t>
      </w:r>
      <w:r>
        <w:rPr>
          <w:rFonts w:hint="default" w:ascii="Times New Roman" w:hAnsi="Times New Roman" w:eastAsia="黑体" w:cs="Times New Roman"/>
          <w:kern w:val="2"/>
          <w:sz w:val="32"/>
          <w:szCs w:val="32"/>
          <w:lang w:val="en-US" w:eastAsia="zh-CN"/>
        </w:rPr>
        <w:t>培养方式</w:t>
      </w:r>
    </w:p>
    <w:p>
      <w:pPr>
        <w:adjustRightInd/>
        <w:spacing w:line="560" w:lineRule="exact"/>
        <w:ind w:firstLine="640" w:firstLineChars="200"/>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研究生的培养方式，实施导师责任制，采取理论学习和科学研究、教学实践相结合的办法。在指导组织形式上采取导师负责和导师组指导相结合的方式。研究生培养以科学研究工作为主，注重培养学生独立从事科学研究和创造性科学研究工作的能力。</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研究生应定期向导师汇报思想、学习、工作情况和课题阶段总结，导师应检查、了解研究生的全面情况，重视研究生政治思想和业务素质水平的提高，定期检查实验记录，了解课题进度。</w:t>
      </w:r>
    </w:p>
    <w:p>
      <w:pPr>
        <w:adjustRightInd/>
        <w:spacing w:line="560" w:lineRule="exact"/>
        <w:ind w:firstLine="640" w:firstLineChars="200"/>
        <w:rPr>
          <w:rFonts w:hint="default" w:ascii="Times New Roman" w:hAnsi="Times New Roman" w:eastAsia="黑体" w:cs="Times New Roman"/>
          <w:kern w:val="2"/>
          <w:sz w:val="32"/>
          <w:szCs w:val="32"/>
          <w:lang w:val="en-US" w:eastAsia="zh-CN"/>
        </w:rPr>
      </w:pPr>
      <w:bookmarkStart w:id="1" w:name="_Toc207850996"/>
      <w:bookmarkStart w:id="2" w:name="_Toc207850364"/>
      <w:bookmarkStart w:id="3" w:name="_Toc271183703"/>
      <w:bookmarkStart w:id="4" w:name="_Toc124666565"/>
      <w:r>
        <w:rPr>
          <w:rFonts w:hint="default" w:ascii="Times New Roman" w:hAnsi="Times New Roman" w:eastAsia="黑体" w:cs="Times New Roman"/>
          <w:kern w:val="2"/>
          <w:sz w:val="32"/>
          <w:szCs w:val="32"/>
          <w:lang w:val="en-US" w:eastAsia="zh-CN"/>
        </w:rPr>
        <w:t>四、培养内容</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硕士生必须修满不少于9</w:t>
      </w:r>
      <w:r>
        <w:rPr>
          <w:rFonts w:hint="default"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lang w:eastAsia="zh-CN"/>
        </w:rPr>
        <w:t>个学分，方可申请毕业。包括课程学习学分</w:t>
      </w:r>
      <w:r>
        <w:rPr>
          <w:rFonts w:hint="default" w:ascii="Times New Roman" w:hAnsi="Times New Roman" w:eastAsia="仿宋_GB2312" w:cs="Times New Roman"/>
          <w:kern w:val="2"/>
          <w:sz w:val="32"/>
          <w:szCs w:val="32"/>
          <w:lang w:val="en-US" w:eastAsia="zh-CN"/>
        </w:rPr>
        <w:t>（</w:t>
      </w: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lang w:val="en-US" w:eastAsia="zh-CN"/>
        </w:rPr>
        <w:t>22</w:t>
      </w:r>
      <w:r>
        <w:rPr>
          <w:rFonts w:hint="default" w:ascii="Times New Roman" w:hAnsi="Times New Roman" w:eastAsia="仿宋_GB2312" w:cs="Times New Roman"/>
          <w:kern w:val="2"/>
          <w:sz w:val="32"/>
          <w:szCs w:val="32"/>
          <w:lang w:eastAsia="zh-CN"/>
        </w:rPr>
        <w:t>学分</w:t>
      </w:r>
      <w:r>
        <w:rPr>
          <w:rFonts w:hint="default" w:ascii="Times New Roman" w:hAnsi="Times New Roman" w:eastAsia="仿宋_GB2312" w:cs="Times New Roman"/>
          <w:kern w:val="2"/>
          <w:sz w:val="32"/>
          <w:szCs w:val="32"/>
          <w:lang w:val="en-US" w:eastAsia="zh-CN"/>
        </w:rPr>
        <w:t>）</w:t>
      </w:r>
      <w:r>
        <w:rPr>
          <w:rFonts w:hint="default" w:ascii="Times New Roman" w:hAnsi="Times New Roman" w:eastAsia="仿宋_GB2312" w:cs="Times New Roman"/>
          <w:kern w:val="2"/>
          <w:sz w:val="32"/>
          <w:szCs w:val="32"/>
          <w:lang w:eastAsia="zh-CN"/>
        </w:rPr>
        <w:t>、教学实践学分（10学分）、开题学分（10学分）、中期考核学分（10学分）、学位论文学分（30学分）、学术活动学分(10学分)。</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申请学位者，除获得毕业要求的学分外，另需获得</w:t>
      </w:r>
      <w:r>
        <w:rPr>
          <w:rFonts w:hint="default" w:ascii="Times New Roman" w:hAnsi="Times New Roman" w:eastAsia="仿宋_GB2312" w:cs="Times New Roman"/>
          <w:kern w:val="2"/>
          <w:sz w:val="32"/>
          <w:szCs w:val="32"/>
          <w:lang w:val="en-US" w:eastAsia="zh-CN"/>
        </w:rPr>
        <w:t>学术成果</w:t>
      </w:r>
      <w:r>
        <w:rPr>
          <w:rFonts w:hint="default" w:ascii="Times New Roman" w:hAnsi="Times New Roman" w:eastAsia="仿宋_GB2312" w:cs="Times New Roman"/>
          <w:kern w:val="2"/>
          <w:sz w:val="32"/>
          <w:szCs w:val="32"/>
          <w:lang w:eastAsia="zh-CN"/>
        </w:rPr>
        <w:t>学分（10学分）。</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bookmarkStart w:id="5" w:name="_Hlk89415933"/>
      <w:r>
        <w:rPr>
          <w:rFonts w:hint="default" w:ascii="Times New Roman" w:hAnsi="Times New Roman" w:eastAsia="楷体_GB2312" w:cs="Times New Roman"/>
          <w:b w:val="0"/>
          <w:bCs/>
          <w:i w:val="0"/>
          <w:iCs w:val="0"/>
          <w:kern w:val="2"/>
          <w:sz w:val="32"/>
          <w:szCs w:val="32"/>
          <w:u w:val="none"/>
          <w:lang w:val="en-US" w:eastAsia="zh-CN" w:bidi="ar-SA"/>
        </w:rPr>
        <w:t>（一）培养计划</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培养计划是硕士生入学后由导师根据培养方案并结合硕士生的个人特点制订的。培养计划应对课程学习、文献阅读、科学研究、学位论文工作的预期目标及进度、</w:t>
      </w:r>
      <w:r>
        <w:rPr>
          <w:rFonts w:hint="default" w:ascii="Times New Roman" w:hAnsi="Times New Roman" w:eastAsia="仿宋_GB2312" w:cs="Times New Roman"/>
          <w:kern w:val="2"/>
          <w:sz w:val="32"/>
          <w:szCs w:val="32"/>
          <w:lang w:val="en-US" w:eastAsia="zh-CN"/>
        </w:rPr>
        <w:t>教学</w:t>
      </w:r>
      <w:r>
        <w:rPr>
          <w:rFonts w:hint="default" w:ascii="Times New Roman" w:hAnsi="Times New Roman" w:eastAsia="仿宋_GB2312" w:cs="Times New Roman"/>
          <w:kern w:val="2"/>
          <w:sz w:val="32"/>
          <w:szCs w:val="32"/>
          <w:lang w:eastAsia="zh-CN"/>
        </w:rPr>
        <w:t>实</w:t>
      </w:r>
      <w:r>
        <w:rPr>
          <w:rFonts w:hint="default" w:ascii="Times New Roman" w:hAnsi="Times New Roman" w:eastAsia="仿宋_GB2312" w:cs="Times New Roman"/>
          <w:kern w:val="2"/>
          <w:sz w:val="32"/>
          <w:szCs w:val="32"/>
          <w:lang w:val="en-US" w:eastAsia="zh-CN"/>
        </w:rPr>
        <w:t>习</w:t>
      </w:r>
      <w:r>
        <w:rPr>
          <w:rFonts w:hint="default" w:ascii="Times New Roman" w:hAnsi="Times New Roman" w:eastAsia="仿宋_GB2312" w:cs="Times New Roman"/>
          <w:kern w:val="2"/>
          <w:sz w:val="32"/>
          <w:szCs w:val="32"/>
          <w:lang w:eastAsia="zh-CN"/>
        </w:rPr>
        <w:t>等做出安排，明确导师小组成员名单及分工。培养计划应在硕士生入学后第一学期内完成，并经所在学院、研究生院审批后执行。</w:t>
      </w:r>
      <w:bookmarkEnd w:id="5"/>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（二）课程学习</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硕士生必须修完所在专业培养方案要求的全部课程学分，未完成本专业规定课程学分者须延长学习年限。</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硕士生课程分为</w:t>
      </w:r>
      <w:r>
        <w:rPr>
          <w:rFonts w:hint="default" w:ascii="Times New Roman" w:hAnsi="Times New Roman" w:eastAsia="仿宋_GB2312" w:cs="Times New Roman"/>
          <w:kern w:val="2"/>
          <w:sz w:val="32"/>
          <w:szCs w:val="32"/>
          <w:lang w:val="en-US" w:eastAsia="zh-CN"/>
        </w:rPr>
        <w:t>必修课程</w:t>
      </w: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lang w:val="en-US" w:eastAsia="zh-CN"/>
        </w:rPr>
        <w:t>必选课程和选修课程</w:t>
      </w:r>
      <w:r>
        <w:rPr>
          <w:rFonts w:hint="default" w:ascii="Times New Roman" w:hAnsi="Times New Roman" w:eastAsia="仿宋_GB2312" w:cs="Times New Roman"/>
          <w:kern w:val="2"/>
          <w:sz w:val="32"/>
          <w:szCs w:val="32"/>
          <w:lang w:eastAsia="zh-CN"/>
        </w:rPr>
        <w:t>，学分为</w:t>
      </w:r>
      <w:r>
        <w:rPr>
          <w:rFonts w:hint="default" w:ascii="Times New Roman" w:hAnsi="Times New Roman" w:eastAsia="仿宋_GB2312" w:cs="Times New Roman"/>
          <w:kern w:val="2"/>
          <w:sz w:val="32"/>
          <w:szCs w:val="32"/>
          <w:lang w:val="en-US" w:eastAsia="zh-CN"/>
        </w:rPr>
        <w:t>22</w:t>
      </w:r>
      <w:r>
        <w:rPr>
          <w:rFonts w:hint="default" w:ascii="Times New Roman" w:hAnsi="Times New Roman" w:eastAsia="仿宋_GB2312" w:cs="Times New Roman"/>
          <w:kern w:val="2"/>
          <w:sz w:val="32"/>
          <w:szCs w:val="32"/>
          <w:lang w:eastAsia="zh-CN"/>
        </w:rPr>
        <w:t>学分，具体课程设置见附录。课程成绩达60分以上（含60分）为及格。申请学位者，所有课程加权平均成绩必须达75分以上（含75分）。凡课程不及格或课程加权平均成绩未达规定要求者可申请重修。</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（三）教学实践</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在学期间必须完成教学实践，并通过考核，计10学分。参加教学实践的形式可以是备课、试讲、讲课、课外辅导、组织课堂讨论或指导本科生实验、辅导本科生毕业论文等。由硕士生本人于工作完成后填写《温州医科大学研究生教学实践考核表》，由导师和学院考核。</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（四）开题报告</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导师指导硕士生，通过查阅收集有关文献资料、调查及预实验研究等，进行论文选题。原则上在第二学期指导硕士生作公开的开题报告，报告其选题依据和研究工作计划。</w:t>
      </w:r>
      <w:bookmarkStart w:id="6" w:name="_Hlk89345202"/>
      <w:r>
        <w:rPr>
          <w:rFonts w:hint="default" w:ascii="Times New Roman" w:hAnsi="Times New Roman" w:eastAsia="仿宋_GB2312" w:cs="Times New Roman"/>
          <w:kern w:val="2"/>
          <w:sz w:val="32"/>
          <w:szCs w:val="32"/>
          <w:lang w:eastAsia="zh-CN"/>
        </w:rPr>
        <w:t>具体要求按照学校开题报告管理办法执行</w:t>
      </w:r>
      <w:bookmarkEnd w:id="6"/>
      <w:r>
        <w:rPr>
          <w:rFonts w:hint="default" w:ascii="Times New Roman" w:hAnsi="Times New Roman" w:eastAsia="仿宋_GB2312" w:cs="Times New Roman"/>
          <w:kern w:val="2"/>
          <w:sz w:val="32"/>
          <w:szCs w:val="32"/>
          <w:lang w:eastAsia="zh-CN"/>
        </w:rPr>
        <w:t>。通过开题考核者，方能进入下一个培养阶段。开题通过者计10学分。</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（五）中期考核</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 xml:space="preserve">研究生中期考核是研究生培养的重要环节，旨在对研究生思想品德、知识掌握与应用、科研与创新能力和专业技术水平等方面进行阶段性总结和评价，合理调整培养计划，激发研究生学习的主动性，确保研究生培养质量。 </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1.考核时间：研究生应在完成学位论文开题之后进行中期考核，</w:t>
      </w:r>
      <w:r>
        <w:rPr>
          <w:rFonts w:hint="default" w:ascii="Times New Roman" w:hAnsi="Times New Roman" w:eastAsia="仿宋_GB2312" w:cs="Times New Roman"/>
          <w:kern w:val="2"/>
          <w:sz w:val="32"/>
          <w:szCs w:val="32"/>
          <w:lang w:val="en-US" w:eastAsia="zh-CN"/>
        </w:rPr>
        <w:t>一般</w:t>
      </w:r>
      <w:r>
        <w:rPr>
          <w:rFonts w:hint="default" w:ascii="Times New Roman" w:hAnsi="Times New Roman" w:eastAsia="仿宋_GB2312" w:cs="Times New Roman"/>
          <w:kern w:val="2"/>
          <w:sz w:val="32"/>
          <w:szCs w:val="32"/>
          <w:lang w:eastAsia="zh-CN"/>
        </w:rPr>
        <w:t>定于第三学期进行。</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2.考核内容：详见《</w:t>
      </w:r>
      <w:r>
        <w:rPr>
          <w:rFonts w:hint="default" w:ascii="Times New Roman" w:hAnsi="Times New Roman" w:eastAsia="仿宋_GB2312" w:cs="Times New Roman"/>
          <w:kern w:val="2"/>
          <w:sz w:val="32"/>
          <w:szCs w:val="32"/>
          <w:lang w:val="en-US" w:eastAsia="zh-CN"/>
        </w:rPr>
        <w:t>温州医科大学研究生中期考核管理办法</w:t>
      </w:r>
      <w:r>
        <w:rPr>
          <w:rFonts w:hint="default" w:ascii="Times New Roman" w:hAnsi="Times New Roman" w:eastAsia="仿宋_GB2312" w:cs="Times New Roman"/>
          <w:kern w:val="2"/>
          <w:sz w:val="32"/>
          <w:szCs w:val="32"/>
          <w:lang w:eastAsia="zh-CN"/>
        </w:rPr>
        <w:t>》。</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3.考核小组组成：一般由3-5名具有高级技术职称的专家组成。</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4.考核结果处理：中期考核结果为合格</w:t>
      </w:r>
      <w:r>
        <w:rPr>
          <w:rFonts w:hint="default" w:ascii="Times New Roman" w:hAnsi="Times New Roman" w:eastAsia="仿宋_GB2312" w:cs="Times New Roman"/>
          <w:kern w:val="2"/>
          <w:sz w:val="32"/>
          <w:szCs w:val="32"/>
          <w:lang w:val="en-US" w:eastAsia="zh-CN"/>
        </w:rPr>
        <w:t>者，</w:t>
      </w:r>
      <w:r>
        <w:rPr>
          <w:rFonts w:hint="default" w:ascii="Times New Roman" w:hAnsi="Times New Roman" w:eastAsia="仿宋_GB2312" w:cs="Times New Roman"/>
          <w:kern w:val="2"/>
          <w:sz w:val="32"/>
          <w:szCs w:val="32"/>
          <w:lang w:eastAsia="zh-CN"/>
        </w:rPr>
        <w:t>可</w:t>
      </w:r>
      <w:r>
        <w:rPr>
          <w:rFonts w:hint="default" w:ascii="Times New Roman" w:hAnsi="Times New Roman" w:eastAsia="仿宋_GB2312" w:cs="Times New Roman"/>
          <w:kern w:val="2"/>
          <w:sz w:val="32"/>
          <w:szCs w:val="32"/>
          <w:lang w:val="en-US" w:eastAsia="zh-CN"/>
        </w:rPr>
        <w:t>直接</w:t>
      </w:r>
      <w:r>
        <w:rPr>
          <w:rFonts w:hint="default" w:ascii="Times New Roman" w:hAnsi="Times New Roman" w:eastAsia="仿宋_GB2312" w:cs="Times New Roman"/>
          <w:kern w:val="2"/>
          <w:sz w:val="32"/>
          <w:szCs w:val="32"/>
          <w:lang w:eastAsia="zh-CN"/>
        </w:rPr>
        <w:t>进入下一轮培养环节；考核结果为限期</w:t>
      </w:r>
      <w:r>
        <w:rPr>
          <w:rFonts w:hint="default" w:ascii="Times New Roman" w:hAnsi="Times New Roman" w:eastAsia="仿宋_GB2312" w:cs="Times New Roman"/>
          <w:kern w:val="2"/>
          <w:sz w:val="32"/>
          <w:szCs w:val="32"/>
          <w:lang w:val="en-US" w:eastAsia="zh-CN"/>
        </w:rPr>
        <w:t>修改</w:t>
      </w:r>
      <w:r>
        <w:rPr>
          <w:rFonts w:hint="default" w:ascii="Times New Roman" w:hAnsi="Times New Roman" w:eastAsia="仿宋_GB2312" w:cs="Times New Roman"/>
          <w:kern w:val="2"/>
          <w:sz w:val="32"/>
          <w:szCs w:val="32"/>
          <w:lang w:eastAsia="zh-CN"/>
        </w:rPr>
        <w:t>者，可在6个月后向学院提出中期考核复审申请；考核结果为不合格者，延期一年毕业，在12个月后提出中期补考核申请，复审、补考核合格后方可进入下一轮培养环节。中期考核合格计10学分。</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（六）</w:t>
      </w:r>
      <w:bookmarkStart w:id="7" w:name="_Hlk89345263"/>
      <w:r>
        <w:rPr>
          <w:rFonts w:hint="default" w:ascii="Times New Roman" w:hAnsi="Times New Roman" w:eastAsia="楷体_GB2312" w:cs="Times New Roman"/>
          <w:b w:val="0"/>
          <w:bCs/>
          <w:i w:val="0"/>
          <w:iCs w:val="0"/>
          <w:kern w:val="2"/>
          <w:sz w:val="32"/>
          <w:szCs w:val="32"/>
          <w:u w:val="none"/>
          <w:lang w:val="en-US" w:eastAsia="zh-CN" w:bidi="ar-SA"/>
        </w:rPr>
        <w:t>学位论文</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硕士生按要求撰写学位论文</w:t>
      </w:r>
      <w:bookmarkEnd w:id="7"/>
      <w:r>
        <w:rPr>
          <w:rFonts w:hint="default" w:ascii="Times New Roman" w:hAnsi="Times New Roman" w:eastAsia="仿宋_GB2312" w:cs="Times New Roman"/>
          <w:kern w:val="2"/>
          <w:sz w:val="32"/>
          <w:szCs w:val="32"/>
          <w:lang w:eastAsia="zh-CN"/>
        </w:rPr>
        <w:t>，通过评阅和答辩者，获30学分</w:t>
      </w:r>
      <w:bookmarkStart w:id="8" w:name="_Hlk89345272"/>
      <w:r>
        <w:rPr>
          <w:rFonts w:hint="default" w:ascii="Times New Roman" w:hAnsi="Times New Roman" w:eastAsia="仿宋_GB2312" w:cs="Times New Roman"/>
          <w:kern w:val="2"/>
          <w:sz w:val="32"/>
          <w:szCs w:val="32"/>
          <w:lang w:eastAsia="zh-CN"/>
        </w:rPr>
        <w:t>，有关论文撰写基本要求和格式、评阅和答辩的具体要求按照学校相应文件执行</w:t>
      </w:r>
      <w:bookmarkEnd w:id="8"/>
      <w:r>
        <w:rPr>
          <w:rFonts w:hint="default" w:ascii="Times New Roman" w:hAnsi="Times New Roman" w:eastAsia="仿宋_GB2312" w:cs="Times New Roman"/>
          <w:kern w:val="2"/>
          <w:sz w:val="32"/>
          <w:szCs w:val="32"/>
          <w:lang w:eastAsia="zh-CN"/>
        </w:rPr>
        <w:t>。</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（七）学术活动</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研究生应积极参加与本专业</w:t>
      </w:r>
      <w:r>
        <w:rPr>
          <w:rFonts w:hint="default" w:ascii="Times New Roman" w:hAnsi="Times New Roman" w:eastAsia="仿宋_GB2312" w:cs="Times New Roman"/>
          <w:kern w:val="2"/>
          <w:sz w:val="32"/>
          <w:szCs w:val="32"/>
          <w:lang w:val="en-US" w:eastAsia="zh-CN"/>
        </w:rPr>
        <w:t>相</w:t>
      </w:r>
      <w:r>
        <w:rPr>
          <w:rFonts w:hint="default" w:ascii="Times New Roman" w:hAnsi="Times New Roman" w:eastAsia="仿宋_GB2312" w:cs="Times New Roman"/>
          <w:kern w:val="2"/>
          <w:sz w:val="32"/>
          <w:szCs w:val="32"/>
          <w:lang w:eastAsia="zh-CN"/>
        </w:rPr>
        <w:t>关的学术活动，以获取更多的科研信息，拓宽知识范围提高科研创新能力。总计不少于10学分。</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1</w:t>
      </w:r>
      <w:r>
        <w:rPr>
          <w:rFonts w:hint="default" w:ascii="Times New Roman" w:hAnsi="Times New Roman" w:eastAsia="仿宋_GB2312" w:cs="Times New Roman"/>
          <w:kern w:val="2"/>
          <w:sz w:val="32"/>
          <w:szCs w:val="32"/>
          <w:lang w:eastAsia="zh-CN"/>
        </w:rPr>
        <w:t>、学术活动的学分要求包含以下两个方面：</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lang w:val="en-US" w:eastAsia="zh-CN"/>
        </w:rPr>
        <w:t>1</w:t>
      </w:r>
      <w:r>
        <w:rPr>
          <w:rFonts w:hint="default" w:ascii="Times New Roman" w:hAnsi="Times New Roman" w:eastAsia="仿宋_GB2312" w:cs="Times New Roman"/>
          <w:kern w:val="2"/>
          <w:sz w:val="32"/>
          <w:szCs w:val="32"/>
          <w:lang w:eastAsia="zh-CN"/>
        </w:rPr>
        <w:t>）公开性学术汇报（不少于</w:t>
      </w:r>
      <w:r>
        <w:rPr>
          <w:rFonts w:hint="default"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lang w:eastAsia="zh-CN"/>
        </w:rPr>
        <w:t>学分）</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①在学院学术会议上作报告（0.5学分/次）；</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②在</w:t>
      </w:r>
      <w:r>
        <w:rPr>
          <w:rFonts w:hint="default" w:ascii="Times New Roman" w:hAnsi="Times New Roman" w:eastAsia="仿宋_GB2312" w:cs="Times New Roman"/>
          <w:kern w:val="2"/>
          <w:sz w:val="32"/>
          <w:szCs w:val="32"/>
          <w:lang w:val="en-US" w:eastAsia="zh-CN"/>
        </w:rPr>
        <w:t>学</w:t>
      </w:r>
      <w:r>
        <w:rPr>
          <w:rFonts w:hint="default" w:ascii="Times New Roman" w:hAnsi="Times New Roman" w:eastAsia="仿宋_GB2312" w:cs="Times New Roman"/>
          <w:kern w:val="2"/>
          <w:sz w:val="32"/>
          <w:szCs w:val="32"/>
          <w:lang w:eastAsia="zh-CN"/>
        </w:rPr>
        <w:t>校级学术会议上作报告（1.0学分/次）；</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③</w:t>
      </w:r>
      <w:r>
        <w:rPr>
          <w:rFonts w:hint="default" w:ascii="Times New Roman" w:hAnsi="Times New Roman" w:eastAsia="仿宋_GB2312" w:cs="Times New Roman"/>
          <w:kern w:val="2"/>
          <w:sz w:val="32"/>
          <w:szCs w:val="32"/>
          <w:lang w:eastAsia="zh-CN"/>
        </w:rPr>
        <w:t>在</w:t>
      </w:r>
      <w:r>
        <w:rPr>
          <w:rFonts w:hint="default" w:ascii="Times New Roman" w:hAnsi="Times New Roman" w:eastAsia="仿宋_GB2312" w:cs="Times New Roman"/>
          <w:kern w:val="2"/>
          <w:sz w:val="32"/>
          <w:szCs w:val="32"/>
          <w:lang w:val="en-US" w:eastAsia="zh-CN"/>
        </w:rPr>
        <w:t>全国</w:t>
      </w:r>
      <w:r>
        <w:rPr>
          <w:rFonts w:hint="default" w:ascii="Times New Roman" w:hAnsi="Times New Roman" w:eastAsia="仿宋_GB2312" w:cs="Times New Roman"/>
          <w:kern w:val="2"/>
          <w:sz w:val="32"/>
          <w:szCs w:val="32"/>
          <w:lang w:eastAsia="zh-CN"/>
        </w:rPr>
        <w:t>、省、市级学术会议上作报告（1.</w:t>
      </w:r>
      <w:r>
        <w:rPr>
          <w:rFonts w:hint="default" w:ascii="Times New Roman" w:hAnsi="Times New Roman" w:eastAsia="仿宋_GB2312" w:cs="Times New Roman"/>
          <w:kern w:val="2"/>
          <w:sz w:val="32"/>
          <w:szCs w:val="32"/>
          <w:lang w:val="en-US" w:eastAsia="zh-CN"/>
        </w:rPr>
        <w:t>5</w:t>
      </w:r>
      <w:r>
        <w:rPr>
          <w:rFonts w:hint="default" w:ascii="Times New Roman" w:hAnsi="Times New Roman" w:eastAsia="仿宋_GB2312" w:cs="Times New Roman"/>
          <w:kern w:val="2"/>
          <w:sz w:val="32"/>
          <w:szCs w:val="32"/>
          <w:lang w:eastAsia="zh-CN"/>
        </w:rPr>
        <w:t>学分/次）；</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④</w:t>
      </w:r>
      <w:r>
        <w:rPr>
          <w:rFonts w:hint="default" w:ascii="Times New Roman" w:hAnsi="Times New Roman" w:eastAsia="仿宋_GB2312" w:cs="Times New Roman"/>
          <w:kern w:val="2"/>
          <w:sz w:val="32"/>
          <w:szCs w:val="32"/>
          <w:lang w:eastAsia="zh-CN"/>
        </w:rPr>
        <w:t>在</w:t>
      </w:r>
      <w:r>
        <w:rPr>
          <w:rFonts w:hint="default" w:ascii="Times New Roman" w:hAnsi="Times New Roman" w:eastAsia="仿宋_GB2312" w:cs="Times New Roman"/>
          <w:kern w:val="2"/>
          <w:sz w:val="32"/>
          <w:szCs w:val="32"/>
          <w:lang w:val="en-US" w:eastAsia="zh-CN"/>
        </w:rPr>
        <w:t>国际</w:t>
      </w:r>
      <w:r>
        <w:rPr>
          <w:rFonts w:hint="default" w:ascii="Times New Roman" w:hAnsi="Times New Roman" w:eastAsia="仿宋_GB2312" w:cs="Times New Roman"/>
          <w:kern w:val="2"/>
          <w:sz w:val="32"/>
          <w:szCs w:val="32"/>
          <w:lang w:eastAsia="zh-CN"/>
        </w:rPr>
        <w:t>学术会议上作报告（</w:t>
      </w:r>
      <w:r>
        <w:rPr>
          <w:rFonts w:hint="default" w:ascii="Times New Roman" w:hAnsi="Times New Roman" w:eastAsia="仿宋_GB2312" w:cs="Times New Roman"/>
          <w:kern w:val="2"/>
          <w:sz w:val="32"/>
          <w:szCs w:val="32"/>
          <w:lang w:val="en-US" w:eastAsia="zh-CN"/>
        </w:rPr>
        <w:t>2.0</w:t>
      </w:r>
      <w:r>
        <w:rPr>
          <w:rFonts w:hint="default" w:ascii="Times New Roman" w:hAnsi="Times New Roman" w:eastAsia="仿宋_GB2312" w:cs="Times New Roman"/>
          <w:kern w:val="2"/>
          <w:sz w:val="32"/>
          <w:szCs w:val="32"/>
          <w:lang w:eastAsia="zh-CN"/>
        </w:rPr>
        <w:t>学分/次）；</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lang w:val="en-US" w:eastAsia="zh-CN"/>
        </w:rPr>
        <w:t>参加学术活动</w:t>
      </w:r>
      <w:r>
        <w:rPr>
          <w:rFonts w:hint="default" w:ascii="Times New Roman" w:hAnsi="Times New Roman" w:eastAsia="仿宋_GB2312" w:cs="Times New Roman"/>
          <w:kern w:val="2"/>
          <w:sz w:val="32"/>
          <w:szCs w:val="32"/>
          <w:lang w:eastAsia="zh-CN"/>
        </w:rPr>
        <w:t>（不少于</w:t>
      </w:r>
      <w:r>
        <w:rPr>
          <w:rFonts w:hint="default" w:ascii="Times New Roman" w:hAnsi="Times New Roman" w:eastAsia="仿宋_GB2312" w:cs="Times New Roman"/>
          <w:kern w:val="2"/>
          <w:sz w:val="32"/>
          <w:szCs w:val="32"/>
          <w:lang w:val="en-US" w:eastAsia="zh-CN"/>
        </w:rPr>
        <w:t>8</w:t>
      </w:r>
      <w:r>
        <w:rPr>
          <w:rFonts w:hint="default" w:ascii="Times New Roman" w:hAnsi="Times New Roman" w:eastAsia="仿宋_GB2312" w:cs="Times New Roman"/>
          <w:kern w:val="2"/>
          <w:sz w:val="32"/>
          <w:szCs w:val="32"/>
          <w:lang w:eastAsia="zh-CN"/>
        </w:rPr>
        <w:t>学分）</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①参加</w:t>
      </w:r>
      <w:r>
        <w:rPr>
          <w:rFonts w:hint="default" w:ascii="Times New Roman" w:hAnsi="Times New Roman" w:eastAsia="仿宋_GB2312" w:cs="Times New Roman"/>
          <w:kern w:val="2"/>
          <w:sz w:val="32"/>
          <w:szCs w:val="32"/>
          <w:lang w:val="en-US" w:eastAsia="zh-CN"/>
        </w:rPr>
        <w:t>学</w:t>
      </w:r>
      <w:r>
        <w:rPr>
          <w:rFonts w:hint="default" w:ascii="Times New Roman" w:hAnsi="Times New Roman" w:eastAsia="仿宋_GB2312" w:cs="Times New Roman"/>
          <w:kern w:val="2"/>
          <w:sz w:val="32"/>
          <w:szCs w:val="32"/>
          <w:lang w:eastAsia="zh-CN"/>
        </w:rPr>
        <w:t>校、学院组织的学术讲座（0.</w:t>
      </w:r>
      <w:r>
        <w:rPr>
          <w:rFonts w:hint="default" w:ascii="Times New Roman" w:hAnsi="Times New Roman" w:eastAsia="仿宋_GB2312" w:cs="Times New Roman"/>
          <w:kern w:val="2"/>
          <w:sz w:val="32"/>
          <w:szCs w:val="32"/>
          <w:lang w:val="en-US" w:eastAsia="zh-CN"/>
        </w:rPr>
        <w:t>5</w:t>
      </w:r>
      <w:r>
        <w:rPr>
          <w:rFonts w:hint="default" w:ascii="Times New Roman" w:hAnsi="Times New Roman" w:eastAsia="仿宋_GB2312" w:cs="Times New Roman"/>
          <w:kern w:val="2"/>
          <w:sz w:val="32"/>
          <w:szCs w:val="32"/>
          <w:lang w:eastAsia="zh-CN"/>
        </w:rPr>
        <w:t>学分/次）；</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②参加全国、地区或国际学术会议（</w:t>
      </w:r>
      <w:r>
        <w:rPr>
          <w:rFonts w:hint="default" w:ascii="Times New Roman" w:hAnsi="Times New Roman" w:eastAsia="仿宋_GB2312" w:cs="Times New Roman"/>
          <w:kern w:val="2"/>
          <w:sz w:val="32"/>
          <w:szCs w:val="32"/>
          <w:lang w:val="en-US" w:eastAsia="zh-CN"/>
        </w:rPr>
        <w:t>1.0</w:t>
      </w:r>
      <w:r>
        <w:rPr>
          <w:rFonts w:hint="default" w:ascii="Times New Roman" w:hAnsi="Times New Roman" w:eastAsia="仿宋_GB2312" w:cs="Times New Roman"/>
          <w:kern w:val="2"/>
          <w:sz w:val="32"/>
          <w:szCs w:val="32"/>
          <w:lang w:eastAsia="zh-CN"/>
        </w:rPr>
        <w:t>学分/次）；</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③</w:t>
      </w:r>
      <w:r>
        <w:rPr>
          <w:rFonts w:hint="default" w:ascii="Times New Roman" w:hAnsi="Times New Roman" w:eastAsia="仿宋_GB2312" w:cs="Times New Roman"/>
          <w:kern w:val="2"/>
          <w:sz w:val="32"/>
          <w:szCs w:val="32"/>
          <w:lang w:eastAsia="zh-CN"/>
        </w:rPr>
        <w:t>摘要被全国、地区或国际学术会议接收（1.</w:t>
      </w:r>
      <w:r>
        <w:rPr>
          <w:rFonts w:hint="default" w:ascii="Times New Roman" w:hAnsi="Times New Roman" w:eastAsia="仿宋_GB2312" w:cs="Times New Roman"/>
          <w:kern w:val="2"/>
          <w:sz w:val="32"/>
          <w:szCs w:val="32"/>
          <w:lang w:val="en-US" w:eastAsia="zh-CN"/>
        </w:rPr>
        <w:t>5</w:t>
      </w:r>
      <w:r>
        <w:rPr>
          <w:rFonts w:hint="default" w:ascii="Times New Roman" w:hAnsi="Times New Roman" w:eastAsia="仿宋_GB2312" w:cs="Times New Roman"/>
          <w:kern w:val="2"/>
          <w:sz w:val="32"/>
          <w:szCs w:val="32"/>
          <w:lang w:eastAsia="zh-CN"/>
        </w:rPr>
        <w:t>学分/次）；</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④</w:t>
      </w:r>
      <w:r>
        <w:rPr>
          <w:rFonts w:hint="default" w:ascii="Times New Roman" w:hAnsi="Times New Roman" w:eastAsia="仿宋_GB2312" w:cs="Times New Roman"/>
          <w:kern w:val="2"/>
          <w:sz w:val="32"/>
          <w:szCs w:val="32"/>
          <w:lang w:eastAsia="zh-CN"/>
        </w:rPr>
        <w:t>在全国</w:t>
      </w:r>
      <w:r>
        <w:rPr>
          <w:rFonts w:hint="default" w:ascii="Times New Roman" w:hAnsi="Times New Roman" w:eastAsia="仿宋_GB2312" w:cs="Times New Roman"/>
          <w:kern w:val="2"/>
          <w:sz w:val="32"/>
          <w:szCs w:val="32"/>
          <w:lang w:val="en-US" w:eastAsia="zh-CN"/>
        </w:rPr>
        <w:t>性</w:t>
      </w:r>
      <w:r>
        <w:rPr>
          <w:rFonts w:hint="default" w:ascii="Times New Roman" w:hAnsi="Times New Roman" w:eastAsia="仿宋_GB2312" w:cs="Times New Roman"/>
          <w:kern w:val="2"/>
          <w:sz w:val="32"/>
          <w:szCs w:val="32"/>
          <w:lang w:eastAsia="zh-CN"/>
        </w:rPr>
        <w:t>学术会议的墙报上展示论文（</w:t>
      </w:r>
      <w:r>
        <w:rPr>
          <w:rFonts w:hint="default" w:ascii="Times New Roman" w:hAnsi="Times New Roman" w:eastAsia="仿宋_GB2312" w:cs="Times New Roman"/>
          <w:kern w:val="2"/>
          <w:sz w:val="32"/>
          <w:szCs w:val="32"/>
          <w:lang w:val="en-US" w:eastAsia="zh-CN"/>
        </w:rPr>
        <w:t>2.0</w:t>
      </w:r>
      <w:r>
        <w:rPr>
          <w:rFonts w:hint="default" w:ascii="Times New Roman" w:hAnsi="Times New Roman" w:eastAsia="仿宋_GB2312" w:cs="Times New Roman"/>
          <w:kern w:val="2"/>
          <w:sz w:val="32"/>
          <w:szCs w:val="32"/>
          <w:lang w:eastAsia="zh-CN"/>
        </w:rPr>
        <w:t>学分/次）；</w:t>
      </w:r>
    </w:p>
    <w:p>
      <w:pPr>
        <w:adjustRightInd/>
        <w:spacing w:line="560" w:lineRule="exact"/>
        <w:ind w:firstLine="640" w:firstLineChars="200"/>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eastAsia="zh-CN"/>
        </w:rPr>
        <w:t>⑤在</w:t>
      </w:r>
      <w:r>
        <w:rPr>
          <w:rFonts w:hint="default" w:ascii="Times New Roman" w:hAnsi="Times New Roman" w:eastAsia="仿宋_GB2312" w:cs="Times New Roman"/>
          <w:kern w:val="2"/>
          <w:sz w:val="32"/>
          <w:szCs w:val="32"/>
          <w:lang w:val="en-US" w:eastAsia="zh-CN"/>
        </w:rPr>
        <w:t>国际性</w:t>
      </w:r>
      <w:r>
        <w:rPr>
          <w:rFonts w:hint="default" w:ascii="Times New Roman" w:hAnsi="Times New Roman" w:eastAsia="仿宋_GB2312" w:cs="Times New Roman"/>
          <w:kern w:val="2"/>
          <w:sz w:val="32"/>
          <w:szCs w:val="32"/>
          <w:lang w:eastAsia="zh-CN"/>
        </w:rPr>
        <w:t>学术会议的墙报上展示论文（</w:t>
      </w:r>
      <w:r>
        <w:rPr>
          <w:rFonts w:hint="default" w:ascii="Times New Roman" w:hAnsi="Times New Roman" w:eastAsia="仿宋_GB2312" w:cs="Times New Roman"/>
          <w:kern w:val="2"/>
          <w:sz w:val="32"/>
          <w:szCs w:val="32"/>
          <w:lang w:val="en-US" w:eastAsia="zh-CN"/>
        </w:rPr>
        <w:t>3.0</w:t>
      </w:r>
      <w:r>
        <w:rPr>
          <w:rFonts w:hint="default" w:ascii="Times New Roman" w:hAnsi="Times New Roman" w:eastAsia="仿宋_GB2312" w:cs="Times New Roman"/>
          <w:kern w:val="2"/>
          <w:sz w:val="32"/>
          <w:szCs w:val="32"/>
          <w:lang w:eastAsia="zh-CN"/>
        </w:rPr>
        <w:t>学分/次）；</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lang w:eastAsia="zh-CN"/>
        </w:rPr>
        <w:t>、相关要求</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参加学术活动后，应填写《温州医科大学研究生参加学术报告登记卡》，并由主办单位签字或盖章；</w:t>
      </w:r>
      <w:r>
        <w:rPr>
          <w:rFonts w:hint="default" w:ascii="Times New Roman" w:hAnsi="Times New Roman" w:eastAsia="仿宋_GB2312" w:cs="Times New Roman"/>
          <w:kern w:val="2"/>
          <w:sz w:val="32"/>
          <w:szCs w:val="32"/>
          <w:lang w:val="en-US" w:eastAsia="zh-CN"/>
        </w:rPr>
        <w:t>参加校外各级学术会议者，须</w:t>
      </w:r>
      <w:r>
        <w:rPr>
          <w:rFonts w:hint="default" w:ascii="Times New Roman" w:hAnsi="Times New Roman" w:eastAsia="仿宋_GB2312" w:cs="Times New Roman"/>
          <w:kern w:val="2"/>
          <w:sz w:val="32"/>
          <w:szCs w:val="32"/>
          <w:lang w:eastAsia="zh-CN"/>
        </w:rPr>
        <w:t>提交会议通知、会议议程、参会证、现场照片、汇报的ppt（电子版）等凭证。同一篇文章在不同学术会议上发言以最高分计算。</w:t>
      </w:r>
      <w:r>
        <w:rPr>
          <w:rFonts w:hint="default" w:ascii="Times New Roman" w:hAnsi="Times New Roman" w:eastAsia="仿宋_GB2312" w:cs="Times New Roman"/>
          <w:kern w:val="2"/>
          <w:sz w:val="32"/>
          <w:szCs w:val="32"/>
          <w:lang w:val="en-US" w:eastAsia="zh-CN"/>
        </w:rPr>
        <w:t>学术活动学分</w:t>
      </w:r>
      <w:r>
        <w:rPr>
          <w:rFonts w:hint="default" w:ascii="Times New Roman" w:hAnsi="Times New Roman" w:eastAsia="仿宋_GB2312" w:cs="Times New Roman"/>
          <w:kern w:val="2"/>
          <w:sz w:val="32"/>
          <w:szCs w:val="32"/>
          <w:lang w:eastAsia="zh-CN"/>
        </w:rPr>
        <w:t>须在论文评阅前完成，在申请答辩时，交各所在学院研究生教育管理部门审核、备案。</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（八）学术成果</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获得符合申请学位要求的学术成果计10学分。申请学位学术成果认定详见《</w:t>
      </w:r>
      <w:r>
        <w:rPr>
          <w:rFonts w:hint="default" w:ascii="Times New Roman" w:hAnsi="Times New Roman" w:eastAsia="仿宋_GB2312" w:cs="Times New Roman"/>
          <w:kern w:val="2"/>
          <w:sz w:val="32"/>
          <w:szCs w:val="32"/>
          <w:lang w:val="en-US" w:eastAsia="zh-CN"/>
        </w:rPr>
        <w:t>温州医科大学研究生申请学位学术成果认定办法</w:t>
      </w:r>
      <w:r>
        <w:rPr>
          <w:rFonts w:hint="default" w:ascii="Times New Roman" w:hAnsi="Times New Roman" w:eastAsia="仿宋_GB2312" w:cs="Times New Roman"/>
          <w:kern w:val="2"/>
          <w:sz w:val="32"/>
          <w:szCs w:val="32"/>
          <w:lang w:eastAsia="zh-CN"/>
        </w:rPr>
        <w:t>》。</w:t>
      </w:r>
    </w:p>
    <w:bookmarkEnd w:id="1"/>
    <w:bookmarkEnd w:id="2"/>
    <w:bookmarkEnd w:id="3"/>
    <w:bookmarkEnd w:id="4"/>
    <w:p>
      <w:pPr>
        <w:adjustRightInd/>
        <w:spacing w:line="560" w:lineRule="exact"/>
        <w:ind w:firstLine="640" w:firstLineChars="200"/>
        <w:rPr>
          <w:rFonts w:hint="default" w:ascii="Times New Roman" w:hAnsi="Times New Roman" w:eastAsia="黑体" w:cs="Times New Roman"/>
          <w:kern w:val="2"/>
          <w:sz w:val="32"/>
          <w:szCs w:val="32"/>
          <w:lang w:eastAsia="zh-CN"/>
        </w:rPr>
      </w:pPr>
      <w:r>
        <w:rPr>
          <w:rFonts w:hint="default" w:ascii="Times New Roman" w:hAnsi="Times New Roman" w:eastAsia="黑体" w:cs="Times New Roman"/>
          <w:kern w:val="2"/>
          <w:sz w:val="32"/>
          <w:szCs w:val="32"/>
          <w:lang w:eastAsia="zh-CN"/>
        </w:rPr>
        <w:t>五、学位论文工作</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学位论文工作是硕士生在导师及导师小组的指导下，独立设计和完成某一科研课题，培养初步独立科研工作能力的过程。硕士生入学后便开始学位论文工作。为保证硕士生论文质量，需做好以下环节：</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（一）定期检查课题进展情况</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导师应经常检查课题进展情况，查阅原始记录，导师小组定期与硕士生一起分析、讨论研究结果。督促硕士生每学期向导师</w:t>
      </w:r>
      <w:r>
        <w:rPr>
          <w:rFonts w:hint="default" w:ascii="Times New Roman" w:hAnsi="Times New Roman" w:eastAsia="仿宋_GB2312" w:cs="Times New Roman"/>
          <w:kern w:val="2"/>
          <w:sz w:val="32"/>
          <w:szCs w:val="32"/>
          <w:lang w:val="en-US" w:eastAsia="zh-CN"/>
        </w:rPr>
        <w:t>组</w:t>
      </w:r>
      <w:r>
        <w:rPr>
          <w:rFonts w:hint="default" w:ascii="Times New Roman" w:hAnsi="Times New Roman" w:eastAsia="仿宋_GB2312" w:cs="Times New Roman"/>
          <w:kern w:val="2"/>
          <w:sz w:val="32"/>
          <w:szCs w:val="32"/>
          <w:lang w:eastAsia="zh-CN"/>
        </w:rPr>
        <w:t>作阶段性汇报，及时发现问题并帮助解决。</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（二）学位论文撰写</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硕士生课题研究工作完成后，在导师及导师小组的指导下独立完成学位论文撰写，格式参照《温州医科大学研究生学位论文编排及打印格式要求》。论文要求立论正确、分析严谨、计算无误、统计处理可靠、文句精练、图表清晰。硕士生在学位论文中应对自己所开展的工作进行详细地阐述，提出自己的观点，体现综合运用科学理论和方法解决实际问题的能力。论文初稿交导师审改后硕士生对论文初稿进行修改和补充，最后由导师正式审定完稿。</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（三）学位论文评阅</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硕士生完成学位论文工作，并完成本专业培养方案规定的各项要求，经导师审核同意，可申请学位论文评阅。学位论文评阅由研究生院组织一年两次，提交学位论文的时间分别是</w:t>
      </w:r>
      <w:r>
        <w:rPr>
          <w:rFonts w:hint="default" w:ascii="Times New Roman" w:hAnsi="Times New Roman" w:eastAsia="仿宋_GB2312" w:cs="Times New Roman"/>
          <w:kern w:val="2"/>
          <w:sz w:val="32"/>
          <w:szCs w:val="32"/>
          <w:lang w:val="en-US" w:eastAsia="zh-CN"/>
        </w:rPr>
        <w:t>3</w:t>
      </w:r>
      <w:r>
        <w:rPr>
          <w:rFonts w:hint="default" w:ascii="Times New Roman" w:hAnsi="Times New Roman" w:eastAsia="仿宋_GB2312" w:cs="Times New Roman"/>
          <w:kern w:val="2"/>
          <w:sz w:val="32"/>
          <w:szCs w:val="32"/>
          <w:lang w:eastAsia="zh-CN"/>
        </w:rPr>
        <w:t>月和</w:t>
      </w:r>
      <w:r>
        <w:rPr>
          <w:rFonts w:hint="default" w:ascii="Times New Roman" w:hAnsi="Times New Roman" w:eastAsia="仿宋_GB2312" w:cs="Times New Roman"/>
          <w:kern w:val="2"/>
          <w:sz w:val="32"/>
          <w:szCs w:val="32"/>
          <w:lang w:val="en-US" w:eastAsia="zh-CN"/>
        </w:rPr>
        <w:t>9</w:t>
      </w:r>
      <w:r>
        <w:rPr>
          <w:rFonts w:hint="default" w:ascii="Times New Roman" w:hAnsi="Times New Roman" w:eastAsia="仿宋_GB2312" w:cs="Times New Roman"/>
          <w:kern w:val="2"/>
          <w:sz w:val="32"/>
          <w:szCs w:val="32"/>
          <w:lang w:eastAsia="zh-CN"/>
        </w:rPr>
        <w:t>月，逾期顺延。</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（四）组织预答辩和答辩的组织工作</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学位论文通过评阅后，由导师安排预答辩。通过预答辩后，方可申请答辩，学位论文的答辩工作由导师所在院系组织。答辩工作的实施参照</w:t>
      </w:r>
      <w:r>
        <w:rPr>
          <w:rFonts w:hint="default" w:ascii="Times New Roman" w:hAnsi="Times New Roman" w:eastAsia="仿宋_GB2312" w:cs="Times New Roman"/>
          <w:kern w:val="2"/>
          <w:sz w:val="32"/>
          <w:szCs w:val="32"/>
          <w:lang w:val="en-US" w:eastAsia="zh-CN"/>
        </w:rPr>
        <w:t>学校相关</w:t>
      </w:r>
      <w:r>
        <w:rPr>
          <w:rFonts w:hint="default" w:ascii="Times New Roman" w:hAnsi="Times New Roman" w:eastAsia="仿宋_GB2312" w:cs="Times New Roman"/>
          <w:kern w:val="2"/>
          <w:sz w:val="32"/>
          <w:szCs w:val="32"/>
          <w:lang w:eastAsia="zh-CN"/>
        </w:rPr>
        <w:t>管理办法。</w:t>
      </w:r>
    </w:p>
    <w:p>
      <w:pPr>
        <w:adjustRightInd/>
        <w:spacing w:line="560" w:lineRule="exact"/>
        <w:ind w:firstLine="640" w:firstLineChars="200"/>
        <w:rPr>
          <w:rFonts w:hint="default" w:ascii="Times New Roman" w:hAnsi="Times New Roman" w:eastAsia="黑体" w:cs="Times New Roman"/>
          <w:kern w:val="2"/>
          <w:sz w:val="32"/>
          <w:szCs w:val="32"/>
          <w:lang w:eastAsia="zh-CN"/>
        </w:rPr>
      </w:pPr>
      <w:r>
        <w:rPr>
          <w:rFonts w:hint="default" w:ascii="Times New Roman" w:hAnsi="Times New Roman" w:eastAsia="黑体" w:cs="Times New Roman"/>
          <w:kern w:val="2"/>
          <w:sz w:val="32"/>
          <w:szCs w:val="32"/>
          <w:lang w:eastAsia="zh-CN"/>
        </w:rPr>
        <w:t xml:space="preserve"> 六、学位申请和学位授予</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（一）学位申请</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学术型硕士生完成课程学习，成绩合格，通过开题及中期考核，学位论文通过评阅及答辩，达到学术型硕士毕业要求并</w:t>
      </w:r>
      <w:r>
        <w:rPr>
          <w:rFonts w:hint="default" w:ascii="Times New Roman" w:hAnsi="Times New Roman" w:eastAsia="仿宋_GB2312" w:cs="Times New Roman"/>
          <w:kern w:val="2"/>
          <w:sz w:val="32"/>
          <w:szCs w:val="32"/>
          <w:lang w:val="en-US" w:eastAsia="zh-CN"/>
        </w:rPr>
        <w:t>取得</w:t>
      </w:r>
      <w:r>
        <w:rPr>
          <w:rFonts w:hint="default" w:ascii="Times New Roman" w:hAnsi="Times New Roman" w:eastAsia="仿宋_GB2312" w:cs="Times New Roman"/>
          <w:kern w:val="2"/>
          <w:sz w:val="32"/>
          <w:szCs w:val="32"/>
          <w:lang w:eastAsia="zh-CN"/>
        </w:rPr>
        <w:t>符合要求的</w:t>
      </w:r>
      <w:r>
        <w:rPr>
          <w:rFonts w:hint="default" w:ascii="Times New Roman" w:hAnsi="Times New Roman" w:eastAsia="仿宋_GB2312" w:cs="Times New Roman"/>
          <w:kern w:val="2"/>
          <w:sz w:val="32"/>
          <w:szCs w:val="32"/>
          <w:lang w:val="en-US" w:eastAsia="zh-CN"/>
        </w:rPr>
        <w:t>学术成果</w:t>
      </w:r>
      <w:r>
        <w:rPr>
          <w:rFonts w:hint="default" w:ascii="Times New Roman" w:hAnsi="Times New Roman" w:eastAsia="仿宋_GB2312" w:cs="Times New Roman"/>
          <w:kern w:val="2"/>
          <w:sz w:val="32"/>
          <w:szCs w:val="32"/>
          <w:lang w:eastAsia="zh-CN"/>
        </w:rPr>
        <w:t>，学位英语通过，可申请学术型硕士学位。</w:t>
      </w:r>
    </w:p>
    <w:p>
      <w:pPr>
        <w:pStyle w:val="2"/>
        <w:keepNext/>
        <w:keepLines/>
        <w:pageBreakBefore w:val="0"/>
        <w:widowControl w:val="0"/>
        <w:kinsoku/>
        <w:wordWrap/>
        <w:overflowPunct/>
        <w:topLinePunct w:val="0"/>
        <w:autoSpaceDE/>
        <w:autoSpaceDN/>
        <w:bidi w:val="0"/>
        <w:adjustRightInd w:val="0"/>
        <w:snapToGrid w:val="0"/>
        <w:spacing w:before="0" w:after="0" w:line="560" w:lineRule="exact"/>
        <w:ind w:firstLine="640" w:firstLineChars="200"/>
        <w:jc w:val="both"/>
        <w:textAlignment w:val="auto"/>
        <w:rPr>
          <w:rFonts w:hint="default" w:ascii="Times New Roman" w:hAnsi="Times New Roman" w:eastAsia="楷体_GB2312" w:cs="Times New Roman"/>
          <w:b w:val="0"/>
          <w:bCs/>
          <w:i w:val="0"/>
          <w:iCs w:val="0"/>
          <w:kern w:val="2"/>
          <w:sz w:val="32"/>
          <w:szCs w:val="32"/>
          <w:u w:val="none"/>
          <w:lang w:val="en-US" w:eastAsia="zh-CN" w:bidi="ar-SA"/>
        </w:rPr>
      </w:pPr>
      <w:r>
        <w:rPr>
          <w:rFonts w:hint="default" w:ascii="Times New Roman" w:hAnsi="Times New Roman" w:eastAsia="楷体_GB2312" w:cs="Times New Roman"/>
          <w:b w:val="0"/>
          <w:bCs/>
          <w:i w:val="0"/>
          <w:iCs w:val="0"/>
          <w:kern w:val="2"/>
          <w:sz w:val="32"/>
          <w:szCs w:val="32"/>
          <w:u w:val="none"/>
          <w:lang w:val="en-US" w:eastAsia="zh-CN" w:bidi="ar-SA"/>
        </w:rPr>
        <w:t>（二）学位授予</w:t>
      </w:r>
    </w:p>
    <w:p>
      <w:pPr>
        <w:adjustRightInd/>
        <w:spacing w:line="560" w:lineRule="exact"/>
        <w:ind w:firstLine="640" w:firstLineChars="200"/>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学位授予按照</w:t>
      </w:r>
      <w:bookmarkStart w:id="9" w:name="_GoBack"/>
      <w:r>
        <w:rPr>
          <w:rFonts w:hint="default" w:ascii="Times New Roman" w:hAnsi="Times New Roman" w:eastAsia="仿宋_GB2312" w:cs="Times New Roman"/>
          <w:kern w:val="2"/>
          <w:sz w:val="32"/>
          <w:szCs w:val="32"/>
          <w:lang w:eastAsia="zh-CN"/>
        </w:rPr>
        <w:t>国家及学</w:t>
      </w:r>
      <w:bookmarkEnd w:id="9"/>
      <w:r>
        <w:rPr>
          <w:rFonts w:hint="default" w:ascii="Times New Roman" w:hAnsi="Times New Roman" w:eastAsia="仿宋_GB2312" w:cs="Times New Roman"/>
          <w:kern w:val="2"/>
          <w:sz w:val="32"/>
          <w:szCs w:val="32"/>
          <w:lang w:eastAsia="zh-CN"/>
        </w:rPr>
        <w:t>校学位授予条例进行。</w:t>
      </w:r>
    </w:p>
    <w:p>
      <w:pPr>
        <w:adjustRightInd/>
        <w:spacing w:line="560" w:lineRule="exact"/>
        <w:ind w:firstLine="640" w:firstLineChars="200"/>
        <w:rPr>
          <w:rFonts w:hint="default" w:ascii="Times New Roman" w:hAnsi="Times New Roman" w:eastAsia="黑体" w:cs="Times New Roman"/>
          <w:kern w:val="2"/>
          <w:sz w:val="32"/>
          <w:szCs w:val="32"/>
          <w:lang w:val="en-US" w:eastAsia="zh-CN"/>
        </w:rPr>
      </w:pPr>
      <w:r>
        <w:rPr>
          <w:rFonts w:hint="default" w:ascii="Times New Roman" w:hAnsi="Times New Roman" w:eastAsia="黑体" w:cs="Times New Roman"/>
          <w:kern w:val="2"/>
          <w:sz w:val="32"/>
          <w:szCs w:val="32"/>
          <w:lang w:val="en-US" w:eastAsia="zh-CN"/>
        </w:rPr>
        <w:t>七、本培养方案自2022级中药学学术学位硕士研究生开始实行，由研究生院负责解释。</w:t>
      </w:r>
    </w:p>
    <w:p>
      <w:pPr>
        <w:pStyle w:val="2"/>
        <w:rPr>
          <w:rFonts w:hint="default"/>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spacing w:line="380" w:lineRule="exact"/>
        <w:ind w:firstLine="0"/>
        <w:outlineLvl w:val="0"/>
        <w:rPr>
          <w:rFonts w:hint="eastAsia" w:ascii="黑体" w:eastAsia="黑体"/>
          <w:b w:val="0"/>
          <w:bCs/>
          <w:sz w:val="30"/>
          <w:szCs w:val="30"/>
        </w:rPr>
      </w:pPr>
    </w:p>
    <w:p>
      <w:pPr>
        <w:pStyle w:val="2"/>
        <w:rPr>
          <w:rFonts w:hint="eastAsia" w:ascii="黑体" w:eastAsia="黑体"/>
          <w:b w:val="0"/>
          <w:bCs/>
          <w:sz w:val="30"/>
          <w:szCs w:val="30"/>
        </w:rPr>
      </w:pPr>
    </w:p>
    <w:p>
      <w:pPr>
        <w:rPr>
          <w:rFonts w:hint="eastAsia" w:ascii="黑体" w:eastAsia="黑体"/>
          <w:b w:val="0"/>
          <w:bCs/>
          <w:sz w:val="30"/>
          <w:szCs w:val="30"/>
        </w:rPr>
      </w:pPr>
    </w:p>
    <w:p>
      <w:pPr>
        <w:spacing w:line="380" w:lineRule="exact"/>
        <w:ind w:firstLine="0"/>
        <w:outlineLvl w:val="0"/>
      </w:pPr>
      <w:r>
        <w:rPr>
          <w:rFonts w:hint="eastAsia" w:ascii="黑体" w:eastAsia="黑体"/>
          <w:b w:val="0"/>
          <w:bCs/>
          <w:sz w:val="30"/>
          <w:szCs w:val="30"/>
        </w:rPr>
        <w:t>附录</w:t>
      </w:r>
      <w:r>
        <w:rPr>
          <w:rFonts w:hint="eastAsia" w:ascii="黑体" w:eastAsia="黑体"/>
          <w:b w:val="0"/>
          <w:bCs/>
          <w:sz w:val="30"/>
          <w:szCs w:val="30"/>
          <w:lang w:eastAsia="zh-CN"/>
        </w:rPr>
        <w:t>：</w:t>
      </w:r>
    </w:p>
    <w:p>
      <w:pPr>
        <w:adjustRightInd w:val="0"/>
        <w:spacing w:before="0" w:beforeLines="0" w:after="0" w:afterLines="0" w:line="560" w:lineRule="exact"/>
        <w:ind w:firstLine="0" w:firstLineChars="0"/>
        <w:jc w:val="center"/>
        <w:outlineLvl w:val="9"/>
      </w:pPr>
      <w:r>
        <w:rPr>
          <w:rFonts w:hint="eastAsia" w:ascii="楷体_GB2312" w:hAnsi="楷体_GB2312" w:eastAsia="楷体_GB2312" w:cs="楷体_GB2312"/>
          <w:b/>
          <w:bCs w:val="0"/>
          <w:kern w:val="0"/>
          <w:sz w:val="32"/>
          <w:szCs w:val="32"/>
          <w:u w:val="single"/>
          <w:lang w:val="en-US" w:eastAsia="zh-CN"/>
        </w:rPr>
        <w:t>中</w:t>
      </w:r>
      <w:r>
        <w:rPr>
          <w:rFonts w:hint="eastAsia" w:ascii="楷体_GB2312" w:hAnsi="楷体_GB2312" w:eastAsia="楷体_GB2312" w:cs="楷体_GB2312"/>
          <w:b/>
          <w:bCs w:val="0"/>
          <w:kern w:val="0"/>
          <w:sz w:val="32"/>
          <w:szCs w:val="32"/>
          <w:u w:val="single"/>
        </w:rPr>
        <w:t>药学</w:t>
      </w:r>
      <w:r>
        <w:rPr>
          <w:rFonts w:hint="eastAsia" w:ascii="楷体_GB2312" w:hAnsi="楷体_GB2312" w:eastAsia="楷体_GB2312" w:cs="楷体_GB2312"/>
          <w:b/>
          <w:bCs w:val="0"/>
          <w:kern w:val="0"/>
          <w:sz w:val="32"/>
          <w:szCs w:val="32"/>
          <w:lang w:val="en-US" w:eastAsia="zh-CN"/>
        </w:rPr>
        <w:t>学术</w:t>
      </w:r>
      <w:r>
        <w:rPr>
          <w:rFonts w:hint="eastAsia" w:ascii="楷体_GB2312" w:hAnsi="楷体_GB2312" w:eastAsia="楷体_GB2312" w:cs="楷体_GB2312"/>
          <w:b/>
          <w:bCs w:val="0"/>
          <w:kern w:val="0"/>
          <w:sz w:val="32"/>
          <w:szCs w:val="32"/>
        </w:rPr>
        <w:t>学位硕士研究生课程设置方案</w:t>
      </w:r>
    </w:p>
    <w:tbl>
      <w:tblPr>
        <w:tblStyle w:val="8"/>
        <w:tblW w:w="88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1796"/>
        <w:gridCol w:w="2800"/>
        <w:gridCol w:w="888"/>
        <w:gridCol w:w="1068"/>
        <w:gridCol w:w="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255" w:type="dxa"/>
            <w:noWrap w:val="0"/>
            <w:vAlign w:val="center"/>
          </w:tcPr>
          <w:p>
            <w:pPr>
              <w:widowControl/>
              <w:jc w:val="center"/>
              <w:rPr>
                <w:rFonts w:hint="eastAsia" w:ascii="宋体" w:hAnsi="宋体" w:eastAsia="宋体" w:cs="宋体"/>
                <w:b/>
                <w:bCs/>
                <w:color w:val="000000"/>
                <w:kern w:val="0"/>
                <w:sz w:val="22"/>
                <w:szCs w:val="22"/>
                <w:lang w:val="en-US" w:eastAsia="zh-CN" w:bidi="ar-SA"/>
              </w:rPr>
            </w:pPr>
            <w:r>
              <w:rPr>
                <w:rFonts w:hint="eastAsia" w:ascii="宋体" w:hAnsi="宋体" w:eastAsia="宋体" w:cs="宋体"/>
                <w:b/>
                <w:bCs/>
                <w:color w:val="000000"/>
                <w:kern w:val="0"/>
                <w:sz w:val="22"/>
                <w:szCs w:val="22"/>
              </w:rPr>
              <w:t>类别</w:t>
            </w:r>
          </w:p>
        </w:tc>
        <w:tc>
          <w:tcPr>
            <w:tcW w:w="1796" w:type="dxa"/>
            <w:noWrap w:val="0"/>
            <w:vAlign w:val="center"/>
          </w:tcPr>
          <w:p>
            <w:pPr>
              <w:widowControl/>
              <w:jc w:val="center"/>
              <w:rPr>
                <w:rFonts w:hint="eastAsia" w:ascii="宋体" w:hAnsi="宋体" w:eastAsia="宋体" w:cs="宋体"/>
                <w:b/>
                <w:bCs/>
                <w:color w:val="000000"/>
                <w:kern w:val="0"/>
                <w:sz w:val="22"/>
                <w:szCs w:val="22"/>
                <w:lang w:val="en-US" w:eastAsia="zh-CN" w:bidi="ar-SA"/>
              </w:rPr>
            </w:pPr>
            <w:r>
              <w:rPr>
                <w:rFonts w:hint="eastAsia" w:ascii="宋体" w:hAnsi="宋体" w:eastAsia="宋体" w:cs="宋体"/>
                <w:b/>
                <w:bCs/>
                <w:color w:val="000000"/>
                <w:kern w:val="0"/>
                <w:sz w:val="22"/>
                <w:szCs w:val="22"/>
                <w:lang w:val="en-US" w:eastAsia="zh-CN"/>
              </w:rPr>
              <w:t>课程性质</w:t>
            </w:r>
          </w:p>
        </w:tc>
        <w:tc>
          <w:tcPr>
            <w:tcW w:w="2800" w:type="dxa"/>
            <w:noWrap w:val="0"/>
            <w:vAlign w:val="center"/>
          </w:tcPr>
          <w:p>
            <w:pPr>
              <w:widowControl/>
              <w:jc w:val="center"/>
              <w:rPr>
                <w:rFonts w:hint="eastAsia" w:ascii="宋体" w:hAnsi="宋体" w:eastAsia="宋体" w:cs="宋体"/>
                <w:b/>
                <w:bCs/>
                <w:color w:val="000000"/>
                <w:kern w:val="0"/>
                <w:sz w:val="22"/>
                <w:szCs w:val="22"/>
                <w:lang w:val="en-US" w:eastAsia="zh-CN" w:bidi="ar-SA"/>
              </w:rPr>
            </w:pPr>
            <w:r>
              <w:rPr>
                <w:rFonts w:hint="eastAsia" w:ascii="宋体" w:hAnsi="宋体" w:eastAsia="宋体" w:cs="宋体"/>
                <w:b/>
                <w:bCs/>
                <w:color w:val="000000"/>
                <w:kern w:val="0"/>
                <w:sz w:val="22"/>
                <w:szCs w:val="22"/>
              </w:rPr>
              <w:t>课程名称</w:t>
            </w:r>
          </w:p>
        </w:tc>
        <w:tc>
          <w:tcPr>
            <w:tcW w:w="888" w:type="dxa"/>
            <w:noWrap w:val="0"/>
            <w:vAlign w:val="center"/>
          </w:tcPr>
          <w:p>
            <w:pPr>
              <w:widowControl/>
              <w:jc w:val="center"/>
              <w:rPr>
                <w:rFonts w:hint="eastAsia" w:ascii="宋体" w:hAnsi="宋体" w:eastAsia="宋体" w:cs="宋体"/>
                <w:b/>
                <w:bCs/>
                <w:color w:val="000000"/>
                <w:kern w:val="0"/>
                <w:sz w:val="22"/>
                <w:szCs w:val="22"/>
                <w:lang w:val="en-US" w:eastAsia="zh-CN" w:bidi="ar-SA"/>
              </w:rPr>
            </w:pPr>
            <w:r>
              <w:rPr>
                <w:rFonts w:hint="eastAsia" w:ascii="宋体" w:hAnsi="宋体" w:eastAsia="宋体" w:cs="宋体"/>
                <w:b/>
                <w:bCs/>
                <w:color w:val="000000"/>
                <w:kern w:val="0"/>
                <w:sz w:val="22"/>
                <w:szCs w:val="22"/>
              </w:rPr>
              <w:t>学分</w:t>
            </w:r>
          </w:p>
        </w:tc>
        <w:tc>
          <w:tcPr>
            <w:tcW w:w="1068" w:type="dxa"/>
            <w:noWrap w:val="0"/>
            <w:vAlign w:val="center"/>
          </w:tcPr>
          <w:p>
            <w:pPr>
              <w:widowControl/>
              <w:jc w:val="center"/>
              <w:rPr>
                <w:rFonts w:hint="eastAsia" w:ascii="宋体" w:hAnsi="宋体" w:eastAsia="宋体" w:cs="宋体"/>
                <w:b/>
                <w:bCs/>
                <w:color w:val="000000"/>
                <w:kern w:val="0"/>
                <w:sz w:val="22"/>
                <w:szCs w:val="22"/>
                <w:lang w:val="en-US" w:eastAsia="zh-CN" w:bidi="ar-SA"/>
              </w:rPr>
            </w:pPr>
            <w:r>
              <w:rPr>
                <w:rFonts w:hint="eastAsia" w:ascii="宋体" w:hAnsi="宋体" w:eastAsia="宋体" w:cs="宋体"/>
                <w:b/>
                <w:bCs/>
                <w:color w:val="000000"/>
                <w:kern w:val="0"/>
                <w:sz w:val="22"/>
                <w:szCs w:val="22"/>
              </w:rPr>
              <w:t>学时数</w:t>
            </w:r>
          </w:p>
        </w:tc>
        <w:tc>
          <w:tcPr>
            <w:tcW w:w="999" w:type="dxa"/>
            <w:noWrap w:val="0"/>
            <w:vAlign w:val="center"/>
          </w:tcPr>
          <w:p>
            <w:pPr>
              <w:widowControl/>
              <w:jc w:val="center"/>
              <w:rPr>
                <w:rFonts w:hint="eastAsia" w:ascii="宋体" w:hAnsi="宋体" w:eastAsia="宋体" w:cs="宋体"/>
                <w:b/>
                <w:bCs/>
                <w:color w:val="000000"/>
                <w:kern w:val="0"/>
                <w:sz w:val="22"/>
                <w:szCs w:val="22"/>
                <w:lang w:val="en-US" w:eastAsia="zh-CN" w:bidi="ar-SA"/>
              </w:rPr>
            </w:pPr>
            <w:r>
              <w:rPr>
                <w:rFonts w:hint="eastAsia" w:ascii="宋体" w:hAnsi="宋体" w:eastAsia="宋体" w:cs="宋体"/>
                <w:b/>
                <w:bCs/>
                <w:color w:val="000000"/>
                <w:kern w:val="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255" w:type="dxa"/>
            <w:vMerge w:val="restart"/>
            <w:noWrap w:val="0"/>
            <w:vAlign w:val="center"/>
          </w:tcPr>
          <w:p>
            <w:pPr>
              <w:pStyle w:val="17"/>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2"/>
                <w:szCs w:val="22"/>
              </w:rPr>
              <w:t>公共</w:t>
            </w:r>
            <w:r>
              <w:rPr>
                <w:rFonts w:hint="eastAsia" w:cs="宋体"/>
                <w:color w:val="auto"/>
                <w:kern w:val="0"/>
                <w:sz w:val="22"/>
                <w:szCs w:val="22"/>
                <w:lang w:val="en-US" w:eastAsia="zh-CN"/>
              </w:rPr>
              <w:t>必修课（6学分）</w:t>
            </w:r>
          </w:p>
          <w:p>
            <w:pPr>
              <w:pStyle w:val="17"/>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b/>
                <w:color w:val="auto"/>
                <w:sz w:val="21"/>
                <w:szCs w:val="21"/>
              </w:rPr>
            </w:pPr>
          </w:p>
          <w:p>
            <w:pPr>
              <w:pStyle w:val="17"/>
              <w:keepNext w:val="0"/>
              <w:keepLines w:val="0"/>
              <w:pageBreakBefore w:val="0"/>
              <w:widowControl w:val="0"/>
              <w:kinsoku/>
              <w:wordWrap/>
              <w:overflowPunct/>
              <w:topLinePunct w:val="0"/>
              <w:bidi w:val="0"/>
              <w:adjustRightInd/>
              <w:snapToGrid/>
              <w:spacing w:line="240" w:lineRule="auto"/>
              <w:ind w:left="604" w:firstLine="0"/>
              <w:jc w:val="center"/>
              <w:textAlignment w:val="auto"/>
              <w:rPr>
                <w:rFonts w:hint="eastAsia" w:ascii="宋体" w:hAnsi="宋体" w:eastAsia="宋体" w:cs="宋体"/>
                <w:color w:val="auto"/>
                <w:sz w:val="21"/>
                <w:szCs w:val="21"/>
              </w:rPr>
            </w:pPr>
          </w:p>
        </w:tc>
        <w:tc>
          <w:tcPr>
            <w:tcW w:w="1796" w:type="dxa"/>
            <w:vMerge w:val="restart"/>
            <w:noWrap w:val="0"/>
            <w:vAlign w:val="center"/>
          </w:tcPr>
          <w:p>
            <w:pPr>
              <w:pStyle w:val="17"/>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kern w:val="0"/>
                <w:sz w:val="22"/>
                <w:szCs w:val="22"/>
              </w:rPr>
              <w:t>公共</w:t>
            </w:r>
            <w:r>
              <w:rPr>
                <w:rFonts w:hint="eastAsia" w:cs="宋体"/>
                <w:b w:val="0"/>
                <w:bCs w:val="0"/>
                <w:color w:val="auto"/>
                <w:kern w:val="0"/>
                <w:sz w:val="22"/>
                <w:szCs w:val="22"/>
                <w:lang w:val="en-US" w:eastAsia="zh-CN"/>
              </w:rPr>
              <w:t>必修课程</w:t>
            </w:r>
          </w:p>
          <w:p>
            <w:pPr>
              <w:keepNext w:val="0"/>
              <w:keepLines w:val="0"/>
              <w:widowControl/>
              <w:suppressLineNumbers w:val="0"/>
              <w:jc w:val="center"/>
              <w:textAlignment w:val="center"/>
              <w:rPr>
                <w:rFonts w:hint="eastAsia" w:ascii="宋体" w:hAnsi="宋体" w:eastAsia="宋体" w:cs="宋体"/>
                <w:color w:val="auto"/>
                <w:sz w:val="21"/>
                <w:szCs w:val="21"/>
              </w:rPr>
            </w:pP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新时代中国特色社会主义理论与实践研究</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36</w:t>
            </w:r>
          </w:p>
        </w:tc>
        <w:tc>
          <w:tcPr>
            <w:tcW w:w="999"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color w:val="auto"/>
                <w:sz w:val="21"/>
                <w:szCs w:val="21"/>
              </w:rPr>
            </w:pPr>
          </w:p>
        </w:tc>
        <w:tc>
          <w:tcPr>
            <w:tcW w:w="1796" w:type="dxa"/>
            <w:vMerge w:val="continue"/>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自然辩证法概论</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1</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18</w:t>
            </w:r>
          </w:p>
        </w:tc>
        <w:tc>
          <w:tcPr>
            <w:tcW w:w="999"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color w:val="auto"/>
                <w:sz w:val="21"/>
                <w:szCs w:val="21"/>
              </w:rPr>
            </w:pPr>
          </w:p>
        </w:tc>
        <w:tc>
          <w:tcPr>
            <w:tcW w:w="1796" w:type="dxa"/>
            <w:vMerge w:val="continue"/>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硕士生英语</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3</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48</w:t>
            </w:r>
          </w:p>
        </w:tc>
        <w:tc>
          <w:tcPr>
            <w:tcW w:w="999"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55" w:type="dxa"/>
            <w:vMerge w:val="restart"/>
            <w:noWrap w:val="0"/>
            <w:vAlign w:val="center"/>
          </w:tcPr>
          <w:p>
            <w:pPr>
              <w:pStyle w:val="17"/>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color w:val="auto"/>
                <w:sz w:val="21"/>
                <w:szCs w:val="21"/>
                <w:lang w:val="en-US" w:eastAsia="zh-CN"/>
              </w:rPr>
            </w:pPr>
            <w:r>
              <w:rPr>
                <w:rFonts w:hint="eastAsia" w:cs="宋体"/>
                <w:color w:val="auto"/>
                <w:kern w:val="0"/>
                <w:sz w:val="22"/>
                <w:szCs w:val="22"/>
                <w:lang w:val="en-US" w:eastAsia="zh-CN"/>
              </w:rPr>
              <w:t>专业必修课（8学分）</w:t>
            </w:r>
          </w:p>
        </w:tc>
        <w:tc>
          <w:tcPr>
            <w:tcW w:w="1796" w:type="dxa"/>
            <w:vMerge w:val="restart"/>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lang w:val="en-US" w:eastAsia="zh-CN"/>
              </w:rPr>
              <w:t>基础理论知识</w:t>
            </w:r>
            <w:r>
              <w:rPr>
                <w:rFonts w:hint="eastAsia" w:cs="宋体"/>
                <w:b w:val="0"/>
                <w:bCs w:val="0"/>
                <w:color w:val="auto"/>
                <w:kern w:val="0"/>
                <w:sz w:val="22"/>
                <w:szCs w:val="22"/>
                <w:lang w:val="en-US" w:eastAsia="zh-CN"/>
              </w:rPr>
              <w:t>课程</w:t>
            </w: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生物医药与转化医学</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32</w:t>
            </w:r>
          </w:p>
        </w:tc>
        <w:tc>
          <w:tcPr>
            <w:tcW w:w="999" w:type="dxa"/>
            <w:noWrap w:val="0"/>
            <w:vAlign w:val="center"/>
          </w:tcPr>
          <w:p>
            <w:pPr>
              <w:widowControl/>
              <w:jc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color w:val="auto"/>
                <w:sz w:val="21"/>
                <w:szCs w:val="21"/>
                <w:lang w:val="en-US" w:eastAsia="zh-CN"/>
              </w:rPr>
            </w:pPr>
          </w:p>
        </w:tc>
        <w:tc>
          <w:tcPr>
            <w:tcW w:w="1796" w:type="dxa"/>
            <w:vMerge w:val="continue"/>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医学统计学</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32</w:t>
            </w:r>
          </w:p>
        </w:tc>
        <w:tc>
          <w:tcPr>
            <w:tcW w:w="999"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color w:val="auto"/>
                <w:sz w:val="21"/>
                <w:szCs w:val="21"/>
              </w:rPr>
            </w:pPr>
          </w:p>
        </w:tc>
        <w:tc>
          <w:tcPr>
            <w:tcW w:w="1796"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lang w:val="en-US" w:eastAsia="zh-CN"/>
              </w:rPr>
              <w:t>专业基础课程</w:t>
            </w: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医学实验动物学</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32</w:t>
            </w:r>
          </w:p>
        </w:tc>
        <w:tc>
          <w:tcPr>
            <w:tcW w:w="999" w:type="dxa"/>
            <w:noWrap w:val="0"/>
            <w:vAlign w:val="center"/>
          </w:tcPr>
          <w:p>
            <w:pPr>
              <w:widowControl/>
              <w:jc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color w:val="auto"/>
                <w:sz w:val="21"/>
                <w:szCs w:val="21"/>
              </w:rPr>
            </w:pPr>
          </w:p>
        </w:tc>
        <w:tc>
          <w:tcPr>
            <w:tcW w:w="179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cs="宋体"/>
                <w:color w:val="auto"/>
                <w:sz w:val="21"/>
                <w:szCs w:val="21"/>
                <w:lang w:val="en-US" w:eastAsia="zh-CN"/>
              </w:rPr>
              <w:t>综合素质培养</w:t>
            </w:r>
            <w:r>
              <w:rPr>
                <w:rFonts w:hint="eastAsia" w:cs="宋体"/>
                <w:b w:val="0"/>
                <w:bCs w:val="0"/>
                <w:color w:val="auto"/>
                <w:kern w:val="0"/>
                <w:sz w:val="22"/>
                <w:szCs w:val="22"/>
                <w:lang w:val="en-US" w:eastAsia="zh-CN"/>
              </w:rPr>
              <w:t>课程</w:t>
            </w: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科研设计与方法</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32</w:t>
            </w:r>
          </w:p>
        </w:tc>
        <w:tc>
          <w:tcPr>
            <w:tcW w:w="999" w:type="dxa"/>
            <w:noWrap w:val="0"/>
            <w:vAlign w:val="center"/>
          </w:tcPr>
          <w:p>
            <w:pPr>
              <w:widowControl/>
              <w:jc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255" w:type="dxa"/>
            <w:vMerge w:val="restart"/>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cs="宋体"/>
                <w:color w:val="auto"/>
                <w:kern w:val="0"/>
                <w:sz w:val="22"/>
                <w:szCs w:val="22"/>
                <w:lang w:val="en-US" w:eastAsia="zh-CN"/>
              </w:rPr>
            </w:pPr>
            <w:r>
              <w:rPr>
                <w:rFonts w:hint="eastAsia" w:cs="宋体"/>
                <w:color w:val="auto"/>
                <w:kern w:val="0"/>
                <w:sz w:val="22"/>
                <w:szCs w:val="22"/>
                <w:lang w:val="en-US" w:eastAsia="zh-CN"/>
              </w:rPr>
              <w:t>专业必选课（6学分）</w:t>
            </w:r>
          </w:p>
        </w:tc>
        <w:tc>
          <w:tcPr>
            <w:tcW w:w="1796" w:type="dxa"/>
            <w:vMerge w:val="restart"/>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bidi="ar-SA"/>
              </w:rPr>
              <w:t>专业课程</w:t>
            </w: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中药新药研究与开发</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32</w:t>
            </w:r>
          </w:p>
        </w:tc>
        <w:tc>
          <w:tcPr>
            <w:tcW w:w="999"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cs="宋体"/>
                <w:color w:val="auto"/>
                <w:kern w:val="0"/>
                <w:sz w:val="22"/>
                <w:szCs w:val="22"/>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cs="宋体"/>
                <w:color w:val="auto"/>
                <w:kern w:val="0"/>
                <w:sz w:val="22"/>
                <w:szCs w:val="22"/>
                <w:lang w:val="en-US" w:eastAsia="zh-CN"/>
              </w:rPr>
            </w:pPr>
          </w:p>
        </w:tc>
        <w:tc>
          <w:tcPr>
            <w:tcW w:w="1796" w:type="dxa"/>
            <w:vMerge w:val="continue"/>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rPr>
            </w:pP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中药药效学</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32</w:t>
            </w:r>
          </w:p>
        </w:tc>
        <w:tc>
          <w:tcPr>
            <w:tcW w:w="999"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cs="宋体"/>
                <w:color w:val="auto"/>
                <w:kern w:val="0"/>
                <w:sz w:val="22"/>
                <w:szCs w:val="22"/>
                <w:lang w:val="en-US" w:eastAsia="zh-CN"/>
              </w:rPr>
              <w:t>必选</w:t>
            </w:r>
            <w:r>
              <w:rPr>
                <w:rFonts w:hint="eastAsia" w:ascii="宋体" w:hAnsi="宋体" w:eastAsia="宋体" w:cs="宋体"/>
                <w:color w:val="auto"/>
                <w:kern w:val="0"/>
                <w:sz w:val="22"/>
                <w:szCs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cs="宋体"/>
                <w:color w:val="auto"/>
                <w:kern w:val="0"/>
                <w:sz w:val="22"/>
                <w:szCs w:val="22"/>
                <w:lang w:val="en-US" w:eastAsia="zh-CN"/>
              </w:rPr>
            </w:pPr>
          </w:p>
        </w:tc>
        <w:tc>
          <w:tcPr>
            <w:tcW w:w="1796" w:type="dxa"/>
            <w:vMerge w:val="continue"/>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rPr>
            </w:pP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中药学进展</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32</w:t>
            </w:r>
          </w:p>
        </w:tc>
        <w:tc>
          <w:tcPr>
            <w:tcW w:w="999"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cs="宋体"/>
                <w:color w:val="auto"/>
                <w:kern w:val="0"/>
                <w:sz w:val="22"/>
                <w:szCs w:val="22"/>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55" w:type="dxa"/>
            <w:vMerge w:val="restart"/>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cs="宋体"/>
                <w:color w:val="auto"/>
                <w:kern w:val="0"/>
                <w:sz w:val="22"/>
                <w:szCs w:val="22"/>
                <w:lang w:val="en-US" w:eastAsia="zh-CN"/>
              </w:rPr>
            </w:pPr>
            <w:r>
              <w:rPr>
                <w:rFonts w:hint="eastAsia" w:cs="宋体"/>
                <w:color w:val="auto"/>
                <w:kern w:val="0"/>
                <w:sz w:val="22"/>
                <w:szCs w:val="22"/>
                <w:lang w:val="en-US" w:eastAsia="zh-CN"/>
              </w:rPr>
              <w:t>专业选修课（2学分）</w:t>
            </w:r>
          </w:p>
        </w:tc>
        <w:tc>
          <w:tcPr>
            <w:tcW w:w="1796"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lang w:val="en-US" w:eastAsia="zh-CN"/>
              </w:rPr>
              <w:t>基础理论知识课程</w:t>
            </w: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药物新剂型概述</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32</w:t>
            </w:r>
          </w:p>
        </w:tc>
        <w:tc>
          <w:tcPr>
            <w:tcW w:w="999" w:type="dxa"/>
            <w:vMerge w:val="restart"/>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cs="宋体"/>
                <w:i w:val="0"/>
                <w:iCs w:val="0"/>
                <w:color w:val="auto"/>
                <w:kern w:val="0"/>
                <w:sz w:val="22"/>
                <w:szCs w:val="22"/>
                <w:u w:val="none"/>
                <w:lang w:val="en-US" w:eastAsia="zh-CN" w:bidi="ar"/>
              </w:rPr>
              <w:t>选修，五选一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cs="宋体"/>
                <w:color w:val="auto"/>
                <w:kern w:val="0"/>
                <w:sz w:val="22"/>
                <w:szCs w:val="22"/>
                <w:lang w:val="en-US" w:eastAsia="zh-CN"/>
              </w:rPr>
            </w:pPr>
          </w:p>
        </w:tc>
        <w:tc>
          <w:tcPr>
            <w:tcW w:w="1796" w:type="dxa"/>
            <w:vMerge w:val="restart"/>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lang w:val="en-US" w:eastAsia="zh-CN"/>
              </w:rPr>
              <w:t>专业基础课程</w:t>
            </w: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zh-CN"/>
              </w:rPr>
            </w:pPr>
            <w:r>
              <w:rPr>
                <w:rFonts w:hint="eastAsia" w:ascii="宋体" w:hAnsi="宋体" w:eastAsia="宋体" w:cs="宋体"/>
                <w:i w:val="0"/>
                <w:iCs w:val="0"/>
                <w:color w:val="auto"/>
                <w:kern w:val="0"/>
                <w:sz w:val="22"/>
                <w:szCs w:val="22"/>
                <w:u w:val="none"/>
                <w:lang w:val="en-US" w:eastAsia="zh-CN" w:bidi="ar"/>
              </w:rPr>
              <w:t>高级药理学</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zh-CN"/>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zh-CN"/>
              </w:rPr>
            </w:pPr>
            <w:r>
              <w:rPr>
                <w:rFonts w:hint="eastAsia" w:ascii="宋体" w:hAnsi="宋体" w:eastAsia="宋体" w:cs="宋体"/>
                <w:i w:val="0"/>
                <w:iCs w:val="0"/>
                <w:color w:val="auto"/>
                <w:kern w:val="0"/>
                <w:sz w:val="22"/>
                <w:szCs w:val="22"/>
                <w:u w:val="none"/>
                <w:lang w:val="en-US" w:eastAsia="zh-CN" w:bidi="ar"/>
              </w:rPr>
              <w:t>32</w:t>
            </w:r>
          </w:p>
        </w:tc>
        <w:tc>
          <w:tcPr>
            <w:tcW w:w="999"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cs="宋体"/>
                <w:color w:val="auto"/>
                <w:kern w:val="0"/>
                <w:sz w:val="22"/>
                <w:szCs w:val="22"/>
                <w:lang w:val="en-US" w:eastAsia="zh-CN"/>
              </w:rPr>
            </w:pPr>
          </w:p>
        </w:tc>
        <w:tc>
          <w:tcPr>
            <w:tcW w:w="1796" w:type="dxa"/>
            <w:vMerge w:val="continue"/>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临床药理学</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32</w:t>
            </w:r>
          </w:p>
        </w:tc>
        <w:tc>
          <w:tcPr>
            <w:tcW w:w="999"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cs="宋体"/>
                <w:color w:val="auto"/>
                <w:kern w:val="0"/>
                <w:sz w:val="22"/>
                <w:szCs w:val="22"/>
                <w:lang w:val="en-US" w:eastAsia="zh-CN"/>
              </w:rPr>
            </w:pPr>
          </w:p>
        </w:tc>
        <w:tc>
          <w:tcPr>
            <w:tcW w:w="1796" w:type="dxa"/>
            <w:vMerge w:val="restart"/>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lang w:val="en-US" w:eastAsia="zh-CN"/>
              </w:rPr>
              <w:t>专业课程</w:t>
            </w: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zh-CN"/>
              </w:rPr>
            </w:pPr>
            <w:r>
              <w:rPr>
                <w:rFonts w:hint="eastAsia" w:ascii="宋体" w:hAnsi="宋体" w:eastAsia="宋体" w:cs="宋体"/>
                <w:i w:val="0"/>
                <w:iCs w:val="0"/>
                <w:color w:val="auto"/>
                <w:kern w:val="0"/>
                <w:sz w:val="22"/>
                <w:szCs w:val="22"/>
                <w:u w:val="none"/>
                <w:lang w:val="en-US" w:eastAsia="zh-CN" w:bidi="ar"/>
              </w:rPr>
              <w:t>波谱解析</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zh-CN"/>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zh-CN"/>
              </w:rPr>
            </w:pPr>
            <w:r>
              <w:rPr>
                <w:rFonts w:hint="eastAsia" w:ascii="宋体" w:hAnsi="宋体" w:eastAsia="宋体" w:cs="宋体"/>
                <w:i w:val="0"/>
                <w:iCs w:val="0"/>
                <w:color w:val="auto"/>
                <w:kern w:val="0"/>
                <w:sz w:val="22"/>
                <w:szCs w:val="22"/>
                <w:u w:val="none"/>
                <w:lang w:val="en-US" w:eastAsia="zh-CN" w:bidi="ar"/>
              </w:rPr>
              <w:t>32</w:t>
            </w:r>
          </w:p>
        </w:tc>
        <w:tc>
          <w:tcPr>
            <w:tcW w:w="999"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25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cs="宋体"/>
                <w:color w:val="auto"/>
                <w:kern w:val="0"/>
                <w:sz w:val="22"/>
                <w:szCs w:val="22"/>
                <w:lang w:val="en-US" w:eastAsia="zh-CN"/>
              </w:rPr>
            </w:pPr>
          </w:p>
        </w:tc>
        <w:tc>
          <w:tcPr>
            <w:tcW w:w="1796" w:type="dxa"/>
            <w:vMerge w:val="continue"/>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p>
        </w:tc>
        <w:tc>
          <w:tcPr>
            <w:tcW w:w="280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药用辅料学</w:t>
            </w:r>
          </w:p>
        </w:tc>
        <w:tc>
          <w:tcPr>
            <w:tcW w:w="88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lang w:val="en-US" w:eastAsia="zh-CN" w:bidi="ar-SA"/>
              </w:rPr>
            </w:pPr>
            <w:r>
              <w:rPr>
                <w:rFonts w:hint="eastAsia" w:ascii="宋体" w:hAnsi="宋体" w:eastAsia="宋体" w:cs="宋体"/>
                <w:i w:val="0"/>
                <w:iCs w:val="0"/>
                <w:color w:val="auto"/>
                <w:kern w:val="0"/>
                <w:sz w:val="22"/>
                <w:szCs w:val="22"/>
                <w:u w:val="none"/>
                <w:lang w:val="en-US" w:eastAsia="zh-CN" w:bidi="ar"/>
              </w:rPr>
              <w:t>32</w:t>
            </w:r>
          </w:p>
        </w:tc>
        <w:tc>
          <w:tcPr>
            <w:tcW w:w="999"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255" w:type="dxa"/>
            <w:noWrap w:val="0"/>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合计学</w:t>
            </w:r>
            <w:r>
              <w:rPr>
                <w:rFonts w:hint="eastAsia" w:ascii="宋体" w:hAnsi="宋体" w:cs="宋体"/>
                <w:b w:val="0"/>
                <w:bCs w:val="0"/>
                <w:kern w:val="2"/>
                <w:sz w:val="24"/>
                <w:szCs w:val="24"/>
                <w:lang w:val="en-US" w:eastAsia="zh-CN" w:bidi="ar-SA"/>
              </w:rPr>
              <w:t>分</w:t>
            </w:r>
            <w:r>
              <w:rPr>
                <w:rFonts w:hint="eastAsia" w:ascii="宋体" w:hAnsi="宋体" w:eastAsia="宋体" w:cs="宋体"/>
                <w:b w:val="0"/>
                <w:bCs w:val="0"/>
                <w:kern w:val="2"/>
                <w:sz w:val="24"/>
                <w:szCs w:val="24"/>
                <w:lang w:val="en-US" w:eastAsia="zh-CN" w:bidi="ar-SA"/>
              </w:rPr>
              <w:t>分</w:t>
            </w:r>
          </w:p>
        </w:tc>
        <w:tc>
          <w:tcPr>
            <w:tcW w:w="1796" w:type="dxa"/>
            <w:noWrap w:val="0"/>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2800" w:type="dxa"/>
            <w:noWrap w:val="0"/>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p>
        </w:tc>
        <w:tc>
          <w:tcPr>
            <w:tcW w:w="888" w:type="dxa"/>
            <w:noWrap w:val="0"/>
            <w:vAlign w:val="center"/>
          </w:tcPr>
          <w:p>
            <w:pPr>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r>
              <w:rPr>
                <w:rFonts w:hint="eastAsia" w:ascii="宋体" w:hAnsi="宋体" w:cs="宋体"/>
                <w:b w:val="0"/>
                <w:bCs w:val="0"/>
                <w:kern w:val="2"/>
                <w:sz w:val="24"/>
                <w:szCs w:val="24"/>
                <w:lang w:val="en-US" w:eastAsia="zh-CN" w:bidi="ar-SA"/>
              </w:rPr>
              <w:t>2</w:t>
            </w:r>
          </w:p>
        </w:tc>
        <w:tc>
          <w:tcPr>
            <w:tcW w:w="106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999"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bl>
    <w:p>
      <w:pPr>
        <w:rPr>
          <w:color w:val="auto"/>
        </w:rPr>
      </w:pPr>
    </w:p>
    <w:sectPr>
      <w:pgSz w:w="11906" w:h="16838"/>
      <w:pgMar w:top="1440" w:right="1800" w:bottom="1440" w:left="1800" w:header="720" w:footer="720" w:gutter="0"/>
      <w:pgBorders>
        <w:top w:val="none" w:sz="0" w:space="0"/>
        <w:left w:val="none" w:sz="0" w:space="0"/>
        <w:bottom w:val="none" w:sz="0" w:space="0"/>
        <w:right w:val="none" w:sz="0" w:space="0"/>
      </w:pgBorders>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53C"/>
    <w:rsid w:val="00002EFE"/>
    <w:rsid w:val="00011245"/>
    <w:rsid w:val="0002401E"/>
    <w:rsid w:val="00024214"/>
    <w:rsid w:val="0003377E"/>
    <w:rsid w:val="00053F2C"/>
    <w:rsid w:val="000549DA"/>
    <w:rsid w:val="00055A27"/>
    <w:rsid w:val="00062930"/>
    <w:rsid w:val="00067724"/>
    <w:rsid w:val="000811E2"/>
    <w:rsid w:val="00081315"/>
    <w:rsid w:val="00097413"/>
    <w:rsid w:val="000A3E76"/>
    <w:rsid w:val="000F06D3"/>
    <w:rsid w:val="000F494D"/>
    <w:rsid w:val="000F5FFB"/>
    <w:rsid w:val="00105217"/>
    <w:rsid w:val="00126809"/>
    <w:rsid w:val="00126BDE"/>
    <w:rsid w:val="0012762B"/>
    <w:rsid w:val="00131193"/>
    <w:rsid w:val="001350C8"/>
    <w:rsid w:val="0014531D"/>
    <w:rsid w:val="00157540"/>
    <w:rsid w:val="00165D68"/>
    <w:rsid w:val="001805E3"/>
    <w:rsid w:val="00186FA5"/>
    <w:rsid w:val="0019447E"/>
    <w:rsid w:val="001A2BF0"/>
    <w:rsid w:val="001D0FD1"/>
    <w:rsid w:val="001D168F"/>
    <w:rsid w:val="001D5859"/>
    <w:rsid w:val="001E56EA"/>
    <w:rsid w:val="001F1869"/>
    <w:rsid w:val="001F382B"/>
    <w:rsid w:val="001F3DD3"/>
    <w:rsid w:val="001F4B80"/>
    <w:rsid w:val="0021377D"/>
    <w:rsid w:val="002226E6"/>
    <w:rsid w:val="00224FD2"/>
    <w:rsid w:val="0023149A"/>
    <w:rsid w:val="002334B5"/>
    <w:rsid w:val="002445C8"/>
    <w:rsid w:val="00244938"/>
    <w:rsid w:val="00244C58"/>
    <w:rsid w:val="00261F1F"/>
    <w:rsid w:val="0026291B"/>
    <w:rsid w:val="00281C44"/>
    <w:rsid w:val="002864C3"/>
    <w:rsid w:val="0029033B"/>
    <w:rsid w:val="00295406"/>
    <w:rsid w:val="002B0186"/>
    <w:rsid w:val="002B0FF3"/>
    <w:rsid w:val="002D32A1"/>
    <w:rsid w:val="002E7983"/>
    <w:rsid w:val="002F106D"/>
    <w:rsid w:val="0032347C"/>
    <w:rsid w:val="00326879"/>
    <w:rsid w:val="00327D61"/>
    <w:rsid w:val="003410BB"/>
    <w:rsid w:val="00343D76"/>
    <w:rsid w:val="00345A0E"/>
    <w:rsid w:val="003466EE"/>
    <w:rsid w:val="0034678C"/>
    <w:rsid w:val="00351D4D"/>
    <w:rsid w:val="00352553"/>
    <w:rsid w:val="0036594E"/>
    <w:rsid w:val="00371C11"/>
    <w:rsid w:val="00385FC1"/>
    <w:rsid w:val="00394872"/>
    <w:rsid w:val="003A31DD"/>
    <w:rsid w:val="003A477A"/>
    <w:rsid w:val="003B00D8"/>
    <w:rsid w:val="003B2735"/>
    <w:rsid w:val="003C11A8"/>
    <w:rsid w:val="003C1873"/>
    <w:rsid w:val="003C5830"/>
    <w:rsid w:val="003D1E8D"/>
    <w:rsid w:val="003D54FA"/>
    <w:rsid w:val="00403505"/>
    <w:rsid w:val="00415DA3"/>
    <w:rsid w:val="004264E3"/>
    <w:rsid w:val="004304F3"/>
    <w:rsid w:val="00441999"/>
    <w:rsid w:val="00442E72"/>
    <w:rsid w:val="004433E7"/>
    <w:rsid w:val="00447397"/>
    <w:rsid w:val="00461AF0"/>
    <w:rsid w:val="004713C0"/>
    <w:rsid w:val="004716B8"/>
    <w:rsid w:val="00472DC2"/>
    <w:rsid w:val="00490059"/>
    <w:rsid w:val="00492873"/>
    <w:rsid w:val="0049765C"/>
    <w:rsid w:val="004B31A3"/>
    <w:rsid w:val="004B6116"/>
    <w:rsid w:val="004C396F"/>
    <w:rsid w:val="004E7F40"/>
    <w:rsid w:val="00503527"/>
    <w:rsid w:val="005049FA"/>
    <w:rsid w:val="0052260A"/>
    <w:rsid w:val="00534BF5"/>
    <w:rsid w:val="00536C09"/>
    <w:rsid w:val="00540097"/>
    <w:rsid w:val="00551115"/>
    <w:rsid w:val="005545A6"/>
    <w:rsid w:val="00571492"/>
    <w:rsid w:val="005825D6"/>
    <w:rsid w:val="00584A48"/>
    <w:rsid w:val="00591B25"/>
    <w:rsid w:val="0059235A"/>
    <w:rsid w:val="005A6CD1"/>
    <w:rsid w:val="005C07FB"/>
    <w:rsid w:val="005C7DD3"/>
    <w:rsid w:val="005E0F60"/>
    <w:rsid w:val="005E441F"/>
    <w:rsid w:val="005F0582"/>
    <w:rsid w:val="005F2916"/>
    <w:rsid w:val="005F53EA"/>
    <w:rsid w:val="005F5F15"/>
    <w:rsid w:val="005F60BC"/>
    <w:rsid w:val="005F67A6"/>
    <w:rsid w:val="005F6A63"/>
    <w:rsid w:val="005F6D98"/>
    <w:rsid w:val="0060098B"/>
    <w:rsid w:val="006027F1"/>
    <w:rsid w:val="006170B1"/>
    <w:rsid w:val="0064591B"/>
    <w:rsid w:val="00647516"/>
    <w:rsid w:val="006477CF"/>
    <w:rsid w:val="00657AA0"/>
    <w:rsid w:val="00664A8C"/>
    <w:rsid w:val="006908DB"/>
    <w:rsid w:val="006A181E"/>
    <w:rsid w:val="006C04DD"/>
    <w:rsid w:val="006C1A74"/>
    <w:rsid w:val="006C5B95"/>
    <w:rsid w:val="006D419A"/>
    <w:rsid w:val="006D5D99"/>
    <w:rsid w:val="006D6358"/>
    <w:rsid w:val="00702A67"/>
    <w:rsid w:val="00703B0E"/>
    <w:rsid w:val="00712604"/>
    <w:rsid w:val="00726105"/>
    <w:rsid w:val="007345BE"/>
    <w:rsid w:val="00751592"/>
    <w:rsid w:val="00753895"/>
    <w:rsid w:val="00766D2C"/>
    <w:rsid w:val="00770A1F"/>
    <w:rsid w:val="0077532D"/>
    <w:rsid w:val="007938DE"/>
    <w:rsid w:val="00795732"/>
    <w:rsid w:val="00797508"/>
    <w:rsid w:val="007B047E"/>
    <w:rsid w:val="007B364D"/>
    <w:rsid w:val="007C79CF"/>
    <w:rsid w:val="007D3605"/>
    <w:rsid w:val="007D5047"/>
    <w:rsid w:val="007D6A2E"/>
    <w:rsid w:val="007D7102"/>
    <w:rsid w:val="007E0194"/>
    <w:rsid w:val="007E6CA9"/>
    <w:rsid w:val="007F2220"/>
    <w:rsid w:val="007F477E"/>
    <w:rsid w:val="00802C10"/>
    <w:rsid w:val="008048F6"/>
    <w:rsid w:val="00805BA8"/>
    <w:rsid w:val="00807786"/>
    <w:rsid w:val="00815113"/>
    <w:rsid w:val="00815A33"/>
    <w:rsid w:val="00815CBC"/>
    <w:rsid w:val="008203EA"/>
    <w:rsid w:val="00823029"/>
    <w:rsid w:val="00824FE8"/>
    <w:rsid w:val="00836A61"/>
    <w:rsid w:val="008376F6"/>
    <w:rsid w:val="00842199"/>
    <w:rsid w:val="00843957"/>
    <w:rsid w:val="00845678"/>
    <w:rsid w:val="00846C2A"/>
    <w:rsid w:val="00860EC8"/>
    <w:rsid w:val="0086523A"/>
    <w:rsid w:val="008704DD"/>
    <w:rsid w:val="0087523C"/>
    <w:rsid w:val="00876C24"/>
    <w:rsid w:val="00880BB0"/>
    <w:rsid w:val="0088374D"/>
    <w:rsid w:val="00894BD8"/>
    <w:rsid w:val="008A04D7"/>
    <w:rsid w:val="008A3B46"/>
    <w:rsid w:val="008A412F"/>
    <w:rsid w:val="008D2C37"/>
    <w:rsid w:val="00907022"/>
    <w:rsid w:val="009122FD"/>
    <w:rsid w:val="009267A6"/>
    <w:rsid w:val="00927CD9"/>
    <w:rsid w:val="0093012B"/>
    <w:rsid w:val="00935E6E"/>
    <w:rsid w:val="00944077"/>
    <w:rsid w:val="009458CD"/>
    <w:rsid w:val="009610E6"/>
    <w:rsid w:val="00965E47"/>
    <w:rsid w:val="00966EF8"/>
    <w:rsid w:val="00972433"/>
    <w:rsid w:val="0097544A"/>
    <w:rsid w:val="009755DB"/>
    <w:rsid w:val="009770BE"/>
    <w:rsid w:val="00980282"/>
    <w:rsid w:val="009877C2"/>
    <w:rsid w:val="0099389B"/>
    <w:rsid w:val="009B09DC"/>
    <w:rsid w:val="009D45C4"/>
    <w:rsid w:val="009D5C29"/>
    <w:rsid w:val="009E043D"/>
    <w:rsid w:val="009F231C"/>
    <w:rsid w:val="009F2DFB"/>
    <w:rsid w:val="00A0755F"/>
    <w:rsid w:val="00A13CF0"/>
    <w:rsid w:val="00A148DC"/>
    <w:rsid w:val="00A3382A"/>
    <w:rsid w:val="00A6594F"/>
    <w:rsid w:val="00A674C5"/>
    <w:rsid w:val="00A772A6"/>
    <w:rsid w:val="00A95689"/>
    <w:rsid w:val="00AA1B8A"/>
    <w:rsid w:val="00AA4D8C"/>
    <w:rsid w:val="00AA52E2"/>
    <w:rsid w:val="00AB4A2F"/>
    <w:rsid w:val="00AC0D91"/>
    <w:rsid w:val="00AC46E6"/>
    <w:rsid w:val="00AE2522"/>
    <w:rsid w:val="00AE6FBD"/>
    <w:rsid w:val="00AF7966"/>
    <w:rsid w:val="00B055E3"/>
    <w:rsid w:val="00B16EB0"/>
    <w:rsid w:val="00B32B22"/>
    <w:rsid w:val="00B33B6F"/>
    <w:rsid w:val="00B627A7"/>
    <w:rsid w:val="00B7197A"/>
    <w:rsid w:val="00B748F4"/>
    <w:rsid w:val="00B77F36"/>
    <w:rsid w:val="00B81D37"/>
    <w:rsid w:val="00B949B8"/>
    <w:rsid w:val="00B95251"/>
    <w:rsid w:val="00BB23E2"/>
    <w:rsid w:val="00BC5993"/>
    <w:rsid w:val="00BE4CC2"/>
    <w:rsid w:val="00BF2AFC"/>
    <w:rsid w:val="00BF566B"/>
    <w:rsid w:val="00C005A2"/>
    <w:rsid w:val="00C03252"/>
    <w:rsid w:val="00C07286"/>
    <w:rsid w:val="00C1151D"/>
    <w:rsid w:val="00C11FBD"/>
    <w:rsid w:val="00C15A97"/>
    <w:rsid w:val="00C21605"/>
    <w:rsid w:val="00C22AC4"/>
    <w:rsid w:val="00C236D4"/>
    <w:rsid w:val="00C26AF3"/>
    <w:rsid w:val="00C30038"/>
    <w:rsid w:val="00C35BCB"/>
    <w:rsid w:val="00C52CD8"/>
    <w:rsid w:val="00C60015"/>
    <w:rsid w:val="00C662B7"/>
    <w:rsid w:val="00C77A24"/>
    <w:rsid w:val="00C97B3F"/>
    <w:rsid w:val="00CA1CB4"/>
    <w:rsid w:val="00CA6CF2"/>
    <w:rsid w:val="00CC3D14"/>
    <w:rsid w:val="00CC426A"/>
    <w:rsid w:val="00CD2EC3"/>
    <w:rsid w:val="00CE2590"/>
    <w:rsid w:val="00CE6E13"/>
    <w:rsid w:val="00CF2B39"/>
    <w:rsid w:val="00D1190A"/>
    <w:rsid w:val="00D11ADD"/>
    <w:rsid w:val="00D20BB0"/>
    <w:rsid w:val="00D3438F"/>
    <w:rsid w:val="00D40940"/>
    <w:rsid w:val="00D521F0"/>
    <w:rsid w:val="00D60051"/>
    <w:rsid w:val="00D64EA4"/>
    <w:rsid w:val="00D673A8"/>
    <w:rsid w:val="00D77F4E"/>
    <w:rsid w:val="00D8365E"/>
    <w:rsid w:val="00D8767D"/>
    <w:rsid w:val="00DA5C79"/>
    <w:rsid w:val="00DB3360"/>
    <w:rsid w:val="00DD51DE"/>
    <w:rsid w:val="00DD54C0"/>
    <w:rsid w:val="00DE6F3B"/>
    <w:rsid w:val="00DF6C0D"/>
    <w:rsid w:val="00E1051F"/>
    <w:rsid w:val="00E10628"/>
    <w:rsid w:val="00E13602"/>
    <w:rsid w:val="00E1685C"/>
    <w:rsid w:val="00E218C8"/>
    <w:rsid w:val="00E27311"/>
    <w:rsid w:val="00E33778"/>
    <w:rsid w:val="00E5031E"/>
    <w:rsid w:val="00E7126C"/>
    <w:rsid w:val="00E754C2"/>
    <w:rsid w:val="00E76D31"/>
    <w:rsid w:val="00E77839"/>
    <w:rsid w:val="00E82CC3"/>
    <w:rsid w:val="00E96F41"/>
    <w:rsid w:val="00EA1CEE"/>
    <w:rsid w:val="00EB0314"/>
    <w:rsid w:val="00EB1AB7"/>
    <w:rsid w:val="00EC0C57"/>
    <w:rsid w:val="00EC4578"/>
    <w:rsid w:val="00EC62D0"/>
    <w:rsid w:val="00ED63AF"/>
    <w:rsid w:val="00EE1E82"/>
    <w:rsid w:val="00EF14C1"/>
    <w:rsid w:val="00F12092"/>
    <w:rsid w:val="00F16701"/>
    <w:rsid w:val="00F20C8E"/>
    <w:rsid w:val="00F23181"/>
    <w:rsid w:val="00F256AB"/>
    <w:rsid w:val="00F37356"/>
    <w:rsid w:val="00F519E8"/>
    <w:rsid w:val="00F51ACC"/>
    <w:rsid w:val="00F54540"/>
    <w:rsid w:val="00F56006"/>
    <w:rsid w:val="00F61D99"/>
    <w:rsid w:val="00F707DE"/>
    <w:rsid w:val="00F74671"/>
    <w:rsid w:val="00F8075D"/>
    <w:rsid w:val="00F8453C"/>
    <w:rsid w:val="00F92E97"/>
    <w:rsid w:val="00F95693"/>
    <w:rsid w:val="00F95CA4"/>
    <w:rsid w:val="00FA4C94"/>
    <w:rsid w:val="00FA6F90"/>
    <w:rsid w:val="00FC690E"/>
    <w:rsid w:val="00FE1F3C"/>
    <w:rsid w:val="00FE5EF1"/>
    <w:rsid w:val="00FE73C8"/>
    <w:rsid w:val="00FF1BF6"/>
    <w:rsid w:val="00FF6475"/>
    <w:rsid w:val="00FF777A"/>
    <w:rsid w:val="076949A6"/>
    <w:rsid w:val="08E80E5E"/>
    <w:rsid w:val="0D633CC0"/>
    <w:rsid w:val="11CF5887"/>
    <w:rsid w:val="14B9437F"/>
    <w:rsid w:val="15EA0E39"/>
    <w:rsid w:val="19060170"/>
    <w:rsid w:val="1A2B57D8"/>
    <w:rsid w:val="1B943AF8"/>
    <w:rsid w:val="1EFE6073"/>
    <w:rsid w:val="210F06F7"/>
    <w:rsid w:val="23812E74"/>
    <w:rsid w:val="23D11685"/>
    <w:rsid w:val="256816B9"/>
    <w:rsid w:val="27DE6B57"/>
    <w:rsid w:val="285E3691"/>
    <w:rsid w:val="29D836C8"/>
    <w:rsid w:val="2C882413"/>
    <w:rsid w:val="2F8E6B6A"/>
    <w:rsid w:val="330A6680"/>
    <w:rsid w:val="3B794CFE"/>
    <w:rsid w:val="40482E02"/>
    <w:rsid w:val="42817D93"/>
    <w:rsid w:val="45EF78D0"/>
    <w:rsid w:val="489B102B"/>
    <w:rsid w:val="4F0B1870"/>
    <w:rsid w:val="5A542797"/>
    <w:rsid w:val="5EFE3B53"/>
    <w:rsid w:val="60494B80"/>
    <w:rsid w:val="64ED157C"/>
    <w:rsid w:val="661324EA"/>
    <w:rsid w:val="66BC72B2"/>
    <w:rsid w:val="67441F8A"/>
    <w:rsid w:val="67542A22"/>
    <w:rsid w:val="68D80E32"/>
    <w:rsid w:val="68FB1919"/>
    <w:rsid w:val="73881646"/>
    <w:rsid w:val="75EE0D80"/>
    <w:rsid w:val="78C66E03"/>
    <w:rsid w:val="7A7176C1"/>
    <w:rsid w:val="7F501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pPr>
    <w:rPr>
      <w:rFonts w:ascii="Times New Roman" w:hAnsi="Times New Roman" w:eastAsia="宋体" w:cs="Times New Roman"/>
      <w:sz w:val="21"/>
      <w:lang w:val="en-US" w:eastAsia="zh-CN" w:bidi="ar-SA"/>
    </w:rPr>
  </w:style>
  <w:style w:type="paragraph" w:styleId="2">
    <w:name w:val="heading 1"/>
    <w:basedOn w:val="1"/>
    <w:next w:val="1"/>
    <w:link w:val="13"/>
    <w:qFormat/>
    <w:uiPriority w:val="9"/>
    <w:pPr>
      <w:keepNext/>
      <w:keepLines/>
      <w:spacing w:before="340" w:after="330" w:line="578" w:lineRule="atLeast"/>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6"/>
    <w:semiHidden/>
    <w:unhideWhenUsed/>
    <w:qFormat/>
    <w:uiPriority w:val="99"/>
    <w:pPr>
      <w:spacing w:line="240" w:lineRule="auto"/>
    </w:pPr>
    <w:rPr>
      <w:sz w:val="18"/>
      <w:szCs w:val="18"/>
    </w:rPr>
  </w:style>
  <w:style w:type="paragraph" w:styleId="5">
    <w:name w:val="footer"/>
    <w:basedOn w:val="1"/>
    <w:link w:val="15"/>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paragraph" w:customStyle="1" w:styleId="12">
    <w:name w:val="样式 标题 1 + 段前: 6 磅 段后: 6 磅"/>
    <w:basedOn w:val="2"/>
    <w:qFormat/>
    <w:uiPriority w:val="0"/>
    <w:pPr>
      <w:spacing w:before="120" w:after="120" w:line="576" w:lineRule="auto"/>
      <w:jc w:val="center"/>
    </w:pPr>
    <w:rPr>
      <w:rFonts w:eastAsia="楷体_GB2312" w:cs="宋体"/>
      <w:sz w:val="32"/>
      <w:szCs w:val="32"/>
    </w:rPr>
  </w:style>
  <w:style w:type="character" w:customStyle="1" w:styleId="13">
    <w:name w:val="标题 1 Char"/>
    <w:basedOn w:val="9"/>
    <w:link w:val="2"/>
    <w:qFormat/>
    <w:uiPriority w:val="9"/>
    <w:rPr>
      <w:rFonts w:ascii="Times New Roman" w:hAnsi="Times New Roman" w:eastAsia="宋体" w:cs="Times New Roman"/>
      <w:b/>
      <w:bCs/>
      <w:kern w:val="44"/>
      <w:sz w:val="44"/>
      <w:szCs w:val="44"/>
    </w:rPr>
  </w:style>
  <w:style w:type="character" w:customStyle="1" w:styleId="14">
    <w:name w:val="页眉 Char"/>
    <w:basedOn w:val="9"/>
    <w:link w:val="6"/>
    <w:qFormat/>
    <w:uiPriority w:val="99"/>
    <w:rPr>
      <w:rFonts w:ascii="Times New Roman" w:hAnsi="Times New Roman" w:eastAsia="宋体" w:cs="Times New Roman"/>
      <w:kern w:val="0"/>
      <w:sz w:val="18"/>
      <w:szCs w:val="18"/>
    </w:rPr>
  </w:style>
  <w:style w:type="character" w:customStyle="1" w:styleId="15">
    <w:name w:val="页脚 Char"/>
    <w:basedOn w:val="9"/>
    <w:link w:val="5"/>
    <w:qFormat/>
    <w:uiPriority w:val="99"/>
    <w:rPr>
      <w:rFonts w:ascii="Times New Roman" w:hAnsi="Times New Roman" w:eastAsia="宋体" w:cs="Times New Roman"/>
      <w:kern w:val="0"/>
      <w:sz w:val="18"/>
      <w:szCs w:val="18"/>
    </w:rPr>
  </w:style>
  <w:style w:type="character" w:customStyle="1" w:styleId="16">
    <w:name w:val="批注框文本 Char"/>
    <w:basedOn w:val="9"/>
    <w:link w:val="4"/>
    <w:semiHidden/>
    <w:qFormat/>
    <w:uiPriority w:val="99"/>
    <w:rPr>
      <w:rFonts w:ascii="Times New Roman" w:hAnsi="Times New Roman" w:eastAsia="宋体" w:cs="Times New Roman"/>
      <w:sz w:val="18"/>
      <w:szCs w:val="18"/>
    </w:rPr>
  </w:style>
  <w:style w:type="paragraph" w:customStyle="1" w:styleId="17">
    <w:name w:val="Table Paragraph"/>
    <w:basedOn w:val="1"/>
    <w:qFormat/>
    <w:uiPriority w:val="1"/>
    <w:pPr>
      <w:autoSpaceDE w:val="0"/>
      <w:autoSpaceDN w:val="0"/>
      <w:jc w:val="left"/>
    </w:pPr>
    <w:rPr>
      <w:rFonts w:ascii="宋体" w:hAnsi="宋体" w:eastAsia="宋体" w:cs="宋体"/>
      <w:kern w:val="0"/>
      <w:sz w:val="2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3318</Words>
  <Characters>3384</Characters>
  <Lines>20</Lines>
  <Paragraphs>5</Paragraphs>
  <TotalTime>4</TotalTime>
  <ScaleCrop>false</ScaleCrop>
  <LinksUpToDate>false</LinksUpToDate>
  <CharactersWithSpaces>3387</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2018-10-21T15:07:00Z</dcterms:created>
  <dc:creator>cai</dc:creator>
  <cp:lastModifiedBy>Lenovo</cp:lastModifiedBy>
  <cp:lastPrinted>2021-12-16T08:29:00Z</cp:lastPrinted>
  <dcterms:modified xsi:type="dcterms:W3CDTF">2022-03-30T01:07:40Z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E2567CBFD84F4F2B8C51DF2F4C2083FD</vt:lpwstr>
  </property>
</Properties>
</file>