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240" w:lineRule="auto"/>
        <w:ind w:right="416" w:rightChars="198"/>
        <w:jc w:val="center"/>
        <w:textAlignment w:val="auto"/>
        <w:rPr>
          <w:rFonts w:ascii="方正小标宋简体" w:hAnsi="方正小标宋简体" w:eastAsia="方正小标宋简体" w:cs="方正小标宋简体"/>
          <w:b w:val="0"/>
          <w:color w:val="000000"/>
          <w:spacing w:val="1"/>
          <w:kern w:val="0"/>
          <w:sz w:val="44"/>
          <w:szCs w:val="44"/>
          <w:u w:val="single"/>
        </w:rPr>
      </w:pPr>
      <w:bookmarkStart w:id="11" w:name="_GoBack"/>
      <w:bookmarkEnd w:id="11"/>
      <w:r>
        <w:rPr>
          <w:rFonts w:hint="eastAsia" w:ascii="方正小标宋简体" w:hAnsi="方正小标宋简体" w:eastAsia="方正小标宋简体" w:cs="方正小标宋简体"/>
          <w:b w:val="0"/>
          <w:color w:val="000000"/>
          <w:spacing w:val="1"/>
          <w:kern w:val="0"/>
          <w:sz w:val="44"/>
          <w:szCs w:val="44"/>
        </w:rPr>
        <w:t>温州医科大学基础医学学术学位</w:t>
      </w:r>
    </w:p>
    <w:p>
      <w:pPr>
        <w:pStyle w:val="2"/>
        <w:keepNext w:val="0"/>
        <w:keepLines w:val="0"/>
        <w:pageBreakBefore w:val="0"/>
        <w:widowControl w:val="0"/>
        <w:kinsoku/>
        <w:wordWrap/>
        <w:overflowPunct/>
        <w:topLinePunct w:val="0"/>
        <w:autoSpaceDE/>
        <w:autoSpaceDN/>
        <w:bidi w:val="0"/>
        <w:adjustRightInd/>
        <w:snapToGrid/>
        <w:spacing w:line="240" w:lineRule="auto"/>
        <w:ind w:right="416" w:rightChars="198"/>
        <w:jc w:val="center"/>
        <w:textAlignment w:val="auto"/>
        <w:rPr>
          <w:rFonts w:ascii="方正小标宋简体" w:hAnsi="方正小标宋简体" w:eastAsia="方正小标宋简体" w:cs="方正小标宋简体"/>
          <w:b w:val="0"/>
          <w:color w:val="000000"/>
          <w:spacing w:val="1"/>
          <w:kern w:val="0"/>
          <w:sz w:val="44"/>
          <w:szCs w:val="44"/>
        </w:rPr>
      </w:pPr>
      <w:r>
        <w:rPr>
          <w:rFonts w:hint="eastAsia" w:ascii="方正小标宋简体" w:hAnsi="方正小标宋简体" w:eastAsia="方正小标宋简体" w:cs="方正小标宋简体"/>
          <w:b w:val="0"/>
          <w:color w:val="000000"/>
          <w:spacing w:val="1"/>
          <w:kern w:val="0"/>
          <w:sz w:val="44"/>
          <w:szCs w:val="44"/>
        </w:rPr>
        <w:t>博士研究生培养方案</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根据《中华人民共和国学位条例》、《中华人民共和国学位条例暂行实施法》和国家教育部关于加强博士研究生培养的有关精神，结合我校实际，制定本培养方案。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一、培养目标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医学博士研究生（以下简称“博士生”）应具有良好品德、大国情怀和文化自信，具有求真务实的科学态度、勇于突破的创新精神和创新能力、宽厚扎实的基础医学与生命科学基础知识和科学人文素养；掌握基础医学的理论知识体系、研究方法技术；能自主设计并能运用必要的科研方法独立从事科学研究。具体要求为：</w:t>
      </w:r>
    </w:p>
    <w:p>
      <w:pPr>
        <w:spacing w:line="560" w:lineRule="exact"/>
        <w:ind w:firstLine="640" w:firstLineChars="200"/>
        <w:rPr>
          <w:rFonts w:hint="default" w:ascii="Times New Roman" w:hAnsi="Times New Roman" w:eastAsia="仿宋_GB2312" w:cs="Times New Roman"/>
          <w:sz w:val="32"/>
          <w:szCs w:val="32"/>
        </w:rPr>
      </w:pPr>
      <w:bookmarkStart w:id="0" w:name="_Hlk89345997"/>
      <w:r>
        <w:rPr>
          <w:rFonts w:hint="default" w:ascii="Times New Roman" w:hAnsi="Times New Roman" w:eastAsia="仿宋_GB2312" w:cs="Times New Roman"/>
          <w:sz w:val="32"/>
          <w:szCs w:val="32"/>
        </w:rPr>
        <w:t>（一）热爱祖国和人民，拥护中国共产党的领导，拥护社会主义制度，</w:t>
      </w:r>
      <w:r>
        <w:rPr>
          <w:rFonts w:hint="default" w:ascii="Times New Roman" w:hAnsi="Times New Roman" w:eastAsia="仿宋_GB2312" w:cs="Times New Roman"/>
          <w:sz w:val="32"/>
          <w:szCs w:val="36"/>
        </w:rPr>
        <w:t>德、智、体、美、劳全面发展，</w:t>
      </w:r>
      <w:r>
        <w:rPr>
          <w:rFonts w:hint="default" w:ascii="Times New Roman" w:hAnsi="Times New Roman" w:eastAsia="仿宋_GB2312" w:cs="Times New Roman"/>
          <w:sz w:val="32"/>
          <w:szCs w:val="32"/>
        </w:rPr>
        <w:t>树立为社会主义现代化建设和我国医疗卫生事业而奋斗的敬业精神</w:t>
      </w:r>
      <w:r>
        <w:rPr>
          <w:rFonts w:hint="default" w:ascii="Times New Roman" w:hAnsi="Times New Roman" w:eastAsia="仿宋_GB2312" w:cs="Times New Roman"/>
          <w:sz w:val="32"/>
          <w:szCs w:val="36"/>
        </w:rPr>
        <w:t>，成为能担当时代大任的社会主义建设者和接班人</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深刻理解学术研究对人类社会的普遍意义和对人类健康的实际意义，有较好的生命科学和医学理论修养，整体了解医学科学体系，深入掌握基础医学的理论知识体系、研究方法技术和学理发展脉络，准确把握相应学科方向的学术前沿，认识开拓新研究领域的重要性；</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（三）遵守学术道德，恪守学术规范；具备严密的逻辑思维，以及在医学问题的基础或转化领域内发现问题、分析问题、解决问题的能力</w:t>
      </w:r>
      <w:bookmarkStart w:id="1" w:name="_Hlk89345951"/>
      <w:r>
        <w:rPr>
          <w:rFonts w:hint="default" w:ascii="Times New Roman" w:hAnsi="Times New Roman" w:eastAsia="仿宋_GB2312" w:cs="Times New Roman"/>
          <w:sz w:val="32"/>
          <w:szCs w:val="32"/>
        </w:rPr>
        <w:t>；</w:t>
      </w:r>
      <w:bookmarkEnd w:id="1"/>
      <w:r>
        <w:rPr>
          <w:rFonts w:hint="default" w:ascii="Times New Roman" w:hAnsi="Times New Roman" w:eastAsia="仿宋_GB2312" w:cs="Times New Roman"/>
          <w:sz w:val="32"/>
          <w:szCs w:val="32"/>
        </w:rPr>
        <w:t>具备独立开展科学研究工作，在基础医学领域做出创造性成果的能力；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（四）具备基础医学领域坚实宽广的基础理论和系统深入的专门知识，熟悉本学科的研究状况和发展趋势，具有独立从事基础医学理论与实践教学工作的能力；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w:t>
      </w:r>
      <w:bookmarkStart w:id="2" w:name="_Hlk89344768"/>
      <w:r>
        <w:rPr>
          <w:rFonts w:hint="default" w:ascii="Times New Roman" w:hAnsi="Times New Roman" w:eastAsia="仿宋_GB2312" w:cs="Times New Roman"/>
          <w:sz w:val="32"/>
          <w:szCs w:val="32"/>
        </w:rPr>
        <w:t>掌握一门外语，</w:t>
      </w:r>
      <w:bookmarkStart w:id="3" w:name="_Hlk89346955"/>
      <w:r>
        <w:rPr>
          <w:rFonts w:hint="default" w:ascii="Times New Roman" w:hAnsi="Times New Roman" w:eastAsia="仿宋_GB2312" w:cs="Times New Roman"/>
          <w:sz w:val="32"/>
          <w:szCs w:val="32"/>
        </w:rPr>
        <w:t>具备熟练阅读本领域外文文献的能力；能够熟练使用中文和外语进行学术交流、撰写学术论文。</w:t>
      </w:r>
      <w:bookmarkEnd w:id="0"/>
      <w:bookmarkEnd w:id="2"/>
      <w:bookmarkEnd w:id="3"/>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二、学制</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学制三年，博士生在规定的学制时间内不能完成学业的，可以申请延长学习年限，但最长学习年限不得超过八年（含休学、保留学籍和保留入学资格）。博士生的学习时间主要用于课程学习、科学研究、教学实践和学位论文工作。</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三、培养方式</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的培养方式为导师责任制，导师是第一责任人，采取理论学习和科学研究、教学实践相结合的办法。既要培养博士生深入掌握坚实宽广的基础理论和系统的专业知识，又要培养博士生独立从事科学研究、教学实践等方面的工作能力。在课程教学上提倡方法论和创造性引导，培养博士生的自学和自主能力；在课程考核上注重综合分析和解决问题能力的测试。在指导组织形式上采取导师负责和导师小组成员集体培养相结合，充分利用学科、专业导师的教学资源，充分发挥导师和博士生的积极性，理论与实践相结合，教学相长。在保证基本要求的前提下，具体培养方法可以灵活多样。</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四、培养内容及学分要求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研究生毕业必须修满不少于90个学分。所修学分包括课程学习学分（≥10学分）、教学实践学分（10学分）、开题学分（10学分）、中期考核学分(10学分)、学位论文学分（40学分）、自然科学进展研讨学分（10学分）。申请学位者，除获得毕业要求的学分外，另需根据研究生申请学位学术成果认定相关文件执行。具体要求为：</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（一）培养计划的制定</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入学后，导师根据培养方案并结合博士生的个人特点制定培养计划。培养计划应对课程学习、文献阅读、科学研究、学位论文工作的预期目标及进度、教学实习做出明确的安排，明确导师小组成员名单及分工。培养计划经所在学院和研究生院审批后执行。</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（二）课程学习（≥10学分）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研究生必须修完所在专业培养方案要求的全部课程学分，未完成本专业规定课程学分者须延长学习年限。课程成绩达60分以上（含60分）为及格，申请学位者，所有课程加权平均成绩必须达75分以上（含75分）。凡课程不及格或课程加权平均成绩未达规定要求者可申请重修。</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（三）教学实践（10学分）</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博士研究生完成理论课程学习后，按照导师要求进行教学工作，完成教学工作者，获10学分。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（四）开题（10学分）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指导博士生，通过查阅收集有关文献资料、调查及预实验研究等，进行论文选题，并于第二学期指导博士生作公开的开题报告，重点报告其选题依据和研究工作计划。开题报告会由本学科5-7位教授或相当专业技术职务专家组成，与会专家应对选题的先进性，科研设计的严密性，方法和指标选择的科学性等进行综合评价。开题报告必须有详细记录，并填写《温州医科大学研究生学位论文开题报告登记表》。博士生根据专家组意见修改开题报告。开题报告存在严重问题者，须全面修改或更换选题，在3个月内重新开题。通过开题报告考核者，方能进入下一个培养阶段，具体按照学校开题报告管理办法执行。</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（五）中期考核（10学分）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期考核是在博士生学习一段时间后，对其政治思想表现、科研能力等方面进行的一次综合考核和评定。其目的是评价博士生入学以来的学习成效，及时发现和纠正博士生培养过程中存在的问题；对少数不宜继续攻读博士学位者尽早做出妥善处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1.考核时间：中期考核时间定于第三学期进行。</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考核内容：主要考核内容为思想政治素质考核、课程学习情况和学位论文中期考核3个方面。</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3.考核小组组成：由5-7位教授或相当专业技术职务专家组成。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bookmarkStart w:id="4" w:name="_Hlk89087205"/>
      <w:r>
        <w:rPr>
          <w:rFonts w:hint="default" w:ascii="Times New Roman" w:hAnsi="Times New Roman" w:eastAsia="仿宋_GB2312" w:cs="Times New Roman"/>
          <w:sz w:val="32"/>
          <w:szCs w:val="32"/>
        </w:rPr>
        <w:t>具体考核要求详见</w:t>
      </w:r>
      <w:bookmarkStart w:id="5" w:name="_Hlk89345246"/>
      <w:bookmarkStart w:id="6" w:name="_Hlk89346391"/>
      <w:r>
        <w:rPr>
          <w:rFonts w:hint="default" w:ascii="Times New Roman" w:hAnsi="Times New Roman" w:eastAsia="仿宋_GB2312" w:cs="Times New Roman"/>
          <w:sz w:val="32"/>
          <w:szCs w:val="32"/>
        </w:rPr>
        <w:t>学校有关研究生中期考核管理办法</w:t>
      </w:r>
      <w:bookmarkEnd w:id="5"/>
      <w:bookmarkEnd w:id="6"/>
      <w:r>
        <w:rPr>
          <w:rFonts w:hint="default" w:ascii="Times New Roman" w:hAnsi="Times New Roman" w:eastAsia="仿宋_GB2312" w:cs="Times New Roman"/>
          <w:sz w:val="32"/>
          <w:szCs w:val="32"/>
        </w:rPr>
        <w:t>。</w:t>
      </w:r>
      <w:bookmarkEnd w:id="4"/>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（六）学位论文工作（40学分）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1.学位论文的基本原则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博士生一般从第一学期开始进行论文工作，博士生在学位论文工作中必须具有严谨的治学态度和良好的科学作风。</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学位论文应具有重要的实用价值或理论意义，表明作者具备独立从事科学研究工作的能力；应在科学或专门技术上做出创造性成果；应能反映作者在相关学科上掌握了坚实宽广的基础理论与深入系统的专门知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为保证学位论文质量，加强论文工作过程管理，严格执行开题、中期考核制度。</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2.学位论文评阅、预答辩和答辩工作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学位论文应在导师指导下，由博士生本人独立完成。如果博士生学习阶段的科研工作系本人在硕士学位学习阶段科研工作的和深入，其硕士学位论文的成果可在博士学位论文中引用，但在此阶段要有创造性成果。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是一篇系统的完整的学术性论文。论文要求立论正确、分析严谨、计算无误、统计处理可靠、文句精练、图表清晰。论文初稿经导师审改后，博士生对论文初稿进行修改和补充，最后由导师正式审定完稿。</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博士生完成论文工作并通过规定的课程考试及培养各个环节，方可申请学位论文评阅。</w:t>
      </w:r>
      <w:bookmarkStart w:id="7" w:name="_Hlk89345660"/>
      <w:r>
        <w:rPr>
          <w:rFonts w:hint="default" w:ascii="Times New Roman" w:hAnsi="Times New Roman" w:eastAsia="仿宋_GB2312" w:cs="Times New Roman"/>
          <w:sz w:val="32"/>
          <w:szCs w:val="32"/>
        </w:rPr>
        <w:t>学位论文评阅由研究生院统一组织，一年2次，提交学位论文的时间分别为4月和10月，逾期顺延。</w:t>
      </w:r>
      <w:bookmarkEnd w:id="7"/>
      <w:r>
        <w:rPr>
          <w:rFonts w:hint="default" w:ascii="Times New Roman" w:hAnsi="Times New Roman" w:eastAsia="仿宋_GB2312" w:cs="Times New Roman"/>
          <w:sz w:val="32"/>
          <w:szCs w:val="32"/>
        </w:rPr>
        <w:t>学位论文通过评阅后，由导师安排预答辩。通过预答辩后，方可申请答辩。学位论文的答辩工作由导师所在院系组织，答辩工作的实施参照《温州医科大学博士学位论文评阅和答辩的管理办法》。基础医学学术学位博士研究生</w:t>
      </w:r>
      <w:bookmarkStart w:id="8" w:name="_Hlk89345263"/>
      <w:bookmarkStart w:id="9" w:name="_Hlk89347550"/>
      <w:r>
        <w:rPr>
          <w:rFonts w:hint="default" w:ascii="Times New Roman" w:hAnsi="Times New Roman" w:eastAsia="仿宋_GB2312" w:cs="Times New Roman"/>
          <w:sz w:val="32"/>
          <w:szCs w:val="32"/>
        </w:rPr>
        <w:t>须按要求撰写学位论文</w:t>
      </w:r>
      <w:bookmarkEnd w:id="8"/>
      <w:r>
        <w:rPr>
          <w:rFonts w:hint="default" w:ascii="Times New Roman" w:hAnsi="Times New Roman" w:eastAsia="仿宋_GB2312" w:cs="Times New Roman"/>
          <w:sz w:val="32"/>
          <w:szCs w:val="32"/>
        </w:rPr>
        <w:t>，所学的专业、发表论文方向和毕业论文方向须保持一致。通过评阅和答辩者，获40学分</w:t>
      </w:r>
      <w:bookmarkStart w:id="10" w:name="_Hlk89345272"/>
      <w:r>
        <w:rPr>
          <w:rFonts w:hint="default" w:ascii="Times New Roman" w:hAnsi="Times New Roman" w:eastAsia="仿宋_GB2312" w:cs="Times New Roman"/>
          <w:sz w:val="32"/>
          <w:szCs w:val="32"/>
        </w:rPr>
        <w:t>，有关论文撰写、评阅和答辩的具体要求按照学校相应文件执行</w:t>
      </w:r>
      <w:bookmarkEnd w:id="10"/>
      <w:r>
        <w:rPr>
          <w:rFonts w:hint="default" w:ascii="Times New Roman" w:hAnsi="Times New Roman" w:eastAsia="仿宋_GB2312" w:cs="Times New Roman"/>
          <w:sz w:val="32"/>
          <w:szCs w:val="32"/>
        </w:rPr>
        <w:t>。</w:t>
      </w:r>
      <w:bookmarkEnd w:id="9"/>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（七）自然科学进展研讨学分（10学分）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博士生必须参加专题讲座、学术报告等学术活动，了解本学科和相关学科（方向）的前沿论题、发展动态。博士生在学期间参加以下学术活动并获得相应学分，总计不少于10学分。具体学分如下：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1.参加校、院、实践单位组织的学术讲座（0.5学分/次）；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2.参加省级、市级学术会议（1.0学分/次）；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3.参加全国或国际学术会议（2.0学分/次）；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4.在全国性学术会议的墙报上展示论文（3.5学分/次）；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5.在国际学术会议的墙报上展示论文（5.0学分/次）；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6.在学院、实践单位组织的学术会议发言（1.0学分/次）；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7.在校级组织的学术会议发言（2.0学分/次）；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8.在省级、市级学术会议上发言（3.0学分/次）；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9.在全国性学术会议上发言（5.0学分/次）；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10.在国际学术会议上发言（10.0学分/次）。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要求：参加学术活动后，应填写《温州医科大学研究生参加学术报告登记卡》，提交会议通知、会议议程、参会证、现场照片、汇报的ppt（电子版）等凭证粘贴在佐证材料粘贴处，参加同一学术会议以最高计分计算，须在论文评阅前完成。在申请答辩时，交各所在学院研究生教育管理部门审核、备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（八）学术成果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博士生申请学位者，还需根据研究生申请学位学术成果认定相关文件执行。</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五、学位申请与学位授予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（一）学位申请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博士生完成</w:t>
      </w:r>
      <w:r>
        <w:rPr>
          <w:rFonts w:hint="default" w:ascii="Times New Roman" w:hAnsi="Times New Roman" w:eastAsia="仿宋_GB2312" w:cs="Times New Roman"/>
          <w:kern w:val="0"/>
          <w:sz w:val="32"/>
          <w:szCs w:val="32"/>
        </w:rPr>
        <w:t>课程学习，成绩合格且所有课程加权平均成绩必须达75分以上（含75分），通过开题及中期考核，学位论文通过评阅及答辩，完成学位学术成果认定，学位英语通过，可申</w:t>
      </w:r>
      <w:r>
        <w:rPr>
          <w:rFonts w:hint="default" w:ascii="Times New Roman" w:hAnsi="Times New Roman" w:eastAsia="仿宋_GB2312" w:cs="Times New Roman"/>
          <w:sz w:val="32"/>
          <w:szCs w:val="32"/>
        </w:rPr>
        <w:t>请学术型博士学位。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（二）学位授予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学位授予按照国家及学校学位授予条例进行。</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六、其他</w:t>
      </w:r>
    </w:p>
    <w:p>
      <w:pPr>
        <w:spacing w:line="560" w:lineRule="exact"/>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rPr>
        <w:t>（一）为响应教育部博士生综合改革要求，推进博士研究生个性化培养，给博士生导师和学生更多的自主选择权利，规范研究生课程学分认定，特此制订本细则。在为硕士研究生、博士研究生（适用两个层次）开设的专业选修课程中，已获得硕士学位，在读的博士研究生在个人培养计划中加入硕士研究生阶段已修过的课程，且该课程与自身学科方向和研究方向相同时，可直接申请进行课程认定，认定成功后成绩计入总学分，直接认定课程为最多为1门（2学分）。</w:t>
      </w:r>
    </w:p>
    <w:p>
      <w:pPr>
        <w:spacing w:line="560" w:lineRule="exact"/>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rPr>
        <w:t>（二）为推进教育国际化，对于出国18个月以上，在国外院系级别做报告的研究生，由国外所在院系出具证明，予以认定教学实践和自然科学进展研讨学分。</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七、本培养方案自2022级基础医学学术学位博士研究生开始执行，由研究生院负责解释。</w:t>
      </w:r>
    </w:p>
    <w:p>
      <w:pPr>
        <w:widowControl/>
        <w:spacing w:line="560" w:lineRule="exact"/>
        <w:jc w:val="left"/>
      </w:pPr>
      <w:r>
        <w:br w:type="page"/>
      </w:r>
    </w:p>
    <w:p>
      <w:pPr>
        <w:spacing w:line="560" w:lineRule="exact"/>
        <w:ind w:firstLine="420" w:firstLineChars="200"/>
      </w:pP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附录</w:t>
      </w:r>
    </w:p>
    <w:p>
      <w:pPr>
        <w:spacing w:line="560" w:lineRule="exact"/>
        <w:ind w:firstLine="420" w:firstLineChars="200"/>
      </w:pPr>
    </w:p>
    <w:p>
      <w:pPr>
        <w:spacing w:line="56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基础医学学术型博士研究生</w:t>
      </w:r>
      <w:r>
        <w:rPr>
          <w:rFonts w:ascii="仿宋_GB2312" w:hAnsi="仿宋_GB2312" w:eastAsia="仿宋_GB2312" w:cs="仿宋_GB2312"/>
          <w:b/>
          <w:sz w:val="32"/>
          <w:szCs w:val="32"/>
        </w:rPr>
        <w:t>课程设置</w:t>
      </w:r>
      <w:r>
        <w:rPr>
          <w:rFonts w:hint="eastAsia" w:ascii="仿宋_GB2312" w:hAnsi="仿宋_GB2312" w:eastAsia="仿宋_GB2312" w:cs="仿宋_GB2312"/>
          <w:b/>
          <w:sz w:val="32"/>
          <w:szCs w:val="32"/>
        </w:rPr>
        <w:t>（1</w:t>
      </w:r>
      <w:r>
        <w:rPr>
          <w:rFonts w:ascii="仿宋_GB2312" w:hAnsi="仿宋_GB2312" w:eastAsia="仿宋_GB2312" w:cs="仿宋_GB2312"/>
          <w:b/>
          <w:sz w:val="32"/>
          <w:szCs w:val="32"/>
        </w:rPr>
        <w:t>001</w:t>
      </w:r>
      <w:r>
        <w:rPr>
          <w:rFonts w:hint="eastAsia" w:ascii="仿宋_GB2312" w:hAnsi="仿宋_GB2312" w:eastAsia="仿宋_GB2312" w:cs="仿宋_GB2312"/>
          <w:b/>
          <w:sz w:val="32"/>
          <w:szCs w:val="32"/>
        </w:rPr>
        <w:t>）</w:t>
      </w:r>
    </w:p>
    <w:p>
      <w:pPr>
        <w:spacing w:line="560" w:lineRule="exact"/>
        <w:jc w:val="center"/>
        <w:rPr>
          <w:rFonts w:ascii="仿宋_GB2312" w:hAnsi="仿宋_GB2312" w:eastAsia="仿宋_GB2312" w:cs="仿宋_GB2312"/>
          <w:b/>
          <w:sz w:val="32"/>
          <w:szCs w:val="32"/>
        </w:rPr>
      </w:pPr>
    </w:p>
    <w:tbl>
      <w:tblPr>
        <w:tblStyle w:val="8"/>
        <w:tblW w:w="9918" w:type="dxa"/>
        <w:jc w:val="center"/>
        <w:tblLayout w:type="fixed"/>
        <w:tblCellMar>
          <w:top w:w="0" w:type="dxa"/>
          <w:left w:w="108" w:type="dxa"/>
          <w:bottom w:w="0" w:type="dxa"/>
          <w:right w:w="108" w:type="dxa"/>
        </w:tblCellMar>
      </w:tblPr>
      <w:tblGrid>
        <w:gridCol w:w="1555"/>
        <w:gridCol w:w="2268"/>
        <w:gridCol w:w="3402"/>
        <w:gridCol w:w="708"/>
        <w:gridCol w:w="993"/>
        <w:gridCol w:w="992"/>
      </w:tblGrid>
      <w:tr>
        <w:tblPrEx>
          <w:tblCellMar>
            <w:top w:w="0" w:type="dxa"/>
            <w:left w:w="108" w:type="dxa"/>
            <w:bottom w:w="0" w:type="dxa"/>
            <w:right w:w="108" w:type="dxa"/>
          </w:tblCellMar>
        </w:tblPrEx>
        <w:trPr>
          <w:trHeight w:val="465"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类别</w:t>
            </w: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课程性质</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学分</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学时数</w:t>
            </w:r>
          </w:p>
        </w:tc>
        <w:tc>
          <w:tcPr>
            <w:tcW w:w="99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tblPrEx>
          <w:tblCellMar>
            <w:top w:w="0" w:type="dxa"/>
            <w:left w:w="108" w:type="dxa"/>
            <w:bottom w:w="0" w:type="dxa"/>
            <w:right w:w="108" w:type="dxa"/>
          </w:tblCellMar>
        </w:tblPrEx>
        <w:trPr>
          <w:trHeight w:val="563" w:hRule="atLeast"/>
          <w:jc w:val="center"/>
        </w:trPr>
        <w:tc>
          <w:tcPr>
            <w:tcW w:w="1555" w:type="dxa"/>
            <w:vMerge w:val="restar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公共必修课</w:t>
            </w:r>
          </w:p>
        </w:tc>
        <w:tc>
          <w:tcPr>
            <w:tcW w:w="2268"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公共必修课程</w:t>
            </w:r>
          </w:p>
        </w:tc>
        <w:tc>
          <w:tcPr>
            <w:tcW w:w="3402"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中国马克思主义与当代</w:t>
            </w:r>
          </w:p>
        </w:tc>
        <w:tc>
          <w:tcPr>
            <w:tcW w:w="708"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必修</w:t>
            </w:r>
          </w:p>
        </w:tc>
      </w:tr>
      <w:tr>
        <w:tblPrEx>
          <w:tblCellMar>
            <w:top w:w="0" w:type="dxa"/>
            <w:left w:w="108" w:type="dxa"/>
            <w:bottom w:w="0" w:type="dxa"/>
            <w:right w:w="108" w:type="dxa"/>
          </w:tblCellMar>
        </w:tblPrEx>
        <w:trPr>
          <w:trHeight w:val="525" w:hRule="atLeast"/>
          <w:jc w:val="center"/>
        </w:trPr>
        <w:tc>
          <w:tcPr>
            <w:tcW w:w="1555" w:type="dxa"/>
            <w:vMerge w:val="continue"/>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公共必修课程</w:t>
            </w:r>
          </w:p>
        </w:tc>
        <w:tc>
          <w:tcPr>
            <w:tcW w:w="3402"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博士生英语</w:t>
            </w:r>
          </w:p>
        </w:tc>
        <w:tc>
          <w:tcPr>
            <w:tcW w:w="708"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tcBorders>
              <w:top w:val="nil"/>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必修</w:t>
            </w:r>
          </w:p>
        </w:tc>
      </w:tr>
      <w:tr>
        <w:tblPrEx>
          <w:tblCellMar>
            <w:top w:w="0" w:type="dxa"/>
            <w:left w:w="108" w:type="dxa"/>
            <w:bottom w:w="0" w:type="dxa"/>
            <w:right w:w="108" w:type="dxa"/>
          </w:tblCellMar>
        </w:tblPrEx>
        <w:trPr>
          <w:trHeight w:val="525"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专业必修课</w:t>
            </w: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基础理论知识课程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rPr>
              <w:t>基础医学研究进展</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必修</w:t>
            </w:r>
          </w:p>
        </w:tc>
      </w:tr>
      <w:tr>
        <w:tblPrEx>
          <w:tblCellMar>
            <w:top w:w="0" w:type="dxa"/>
            <w:left w:w="108" w:type="dxa"/>
            <w:bottom w:w="0" w:type="dxa"/>
            <w:right w:w="108" w:type="dxa"/>
          </w:tblCellMar>
        </w:tblPrEx>
        <w:trPr>
          <w:trHeight w:val="525" w:hRule="atLeast"/>
          <w:jc w:val="center"/>
        </w:trPr>
        <w:tc>
          <w:tcPr>
            <w:tcW w:w="1555" w:type="dxa"/>
            <w:vMerge w:val="restart"/>
            <w:tcBorders>
              <w:top w:val="single" w:color="auto" w:sz="4" w:space="0"/>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专业选修课</w:t>
            </w: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博士生导论</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vMerge w:val="restart"/>
            <w:tcBorders>
              <w:top w:val="single" w:color="auto" w:sz="4" w:space="0"/>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十</w:t>
            </w:r>
          </w:p>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选</w:t>
            </w:r>
          </w:p>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w:t>
            </w: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highlight w:val="yellow"/>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highlight w:val="yellow"/>
              </w:rPr>
            </w:pPr>
            <w:r>
              <w:rPr>
                <w:rFonts w:hint="eastAsia" w:ascii="仿宋_GB2312" w:hAnsi="仿宋_GB2312" w:eastAsia="仿宋_GB2312" w:cs="仿宋_GB2312"/>
                <w:b w:val="0"/>
                <w:bCs/>
                <w:sz w:val="24"/>
                <w:szCs w:val="24"/>
              </w:rPr>
              <w:t>医学社会科学研究方法进阶</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高级病理生理学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肿瘤学进展</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细胞与分子免疫学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r>
              <w:rPr>
                <w:rFonts w:ascii="仿宋_GB2312" w:hAnsi="仿宋_GB2312" w:eastAsia="仿宋_GB2312" w:cs="仿宋_GB2312"/>
                <w:b w:val="0"/>
                <w:bCs/>
                <w:sz w:val="24"/>
                <w:szCs w:val="24"/>
              </w:rPr>
              <w:t>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肿瘤药理分子生物学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r>
              <w:rPr>
                <w:rFonts w:ascii="仿宋_GB2312" w:hAnsi="仿宋_GB2312" w:eastAsia="仿宋_GB2312" w:cs="仿宋_GB2312"/>
                <w:b w:val="0"/>
                <w:bCs/>
                <w:sz w:val="24"/>
                <w:szCs w:val="24"/>
              </w:rPr>
              <w:t>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基础理论知识课程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高级分子生物学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r>
              <w:rPr>
                <w:rFonts w:ascii="仿宋_GB2312" w:hAnsi="仿宋_GB2312" w:eastAsia="仿宋_GB2312" w:cs="仿宋_GB2312"/>
                <w:b w:val="0"/>
                <w:bCs/>
                <w:sz w:val="24"/>
                <w:szCs w:val="24"/>
              </w:rPr>
              <w:t>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肿瘤相关病毒基础与转化医学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1.5</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ascii="仿宋_GB2312" w:hAnsi="仿宋_GB2312" w:eastAsia="仿宋_GB2312" w:cs="仿宋_GB2312"/>
                <w:b w:val="0"/>
                <w:bCs/>
                <w:sz w:val="24"/>
                <w:szCs w:val="24"/>
              </w:rPr>
              <w:t>24</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专业基础课程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细胞信号转导的基础与临床</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r>
              <w:rPr>
                <w:rFonts w:ascii="仿宋_GB2312" w:hAnsi="仿宋_GB2312" w:eastAsia="仿宋_GB2312" w:cs="仿宋_GB2312"/>
                <w:b w:val="0"/>
                <w:bCs/>
                <w:sz w:val="24"/>
                <w:szCs w:val="24"/>
              </w:rPr>
              <w:t>2</w:t>
            </w:r>
          </w:p>
        </w:tc>
        <w:tc>
          <w:tcPr>
            <w:tcW w:w="992" w:type="dxa"/>
            <w:vMerge w:val="continue"/>
            <w:tcBorders>
              <w:left w:val="nil"/>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专业课程</w:t>
            </w: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生物信息学</w:t>
            </w: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r>
              <w:rPr>
                <w:rFonts w:ascii="仿宋_GB2312" w:hAnsi="仿宋_GB2312" w:eastAsia="仿宋_GB2312" w:cs="仿宋_GB2312"/>
                <w:b w:val="0"/>
                <w:bCs/>
                <w:sz w:val="24"/>
                <w:szCs w:val="24"/>
              </w:rPr>
              <w:t>2</w:t>
            </w:r>
          </w:p>
        </w:tc>
        <w:tc>
          <w:tcPr>
            <w:tcW w:w="992" w:type="dxa"/>
            <w:vMerge w:val="continue"/>
            <w:tcBorders>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r>
        <w:tblPrEx>
          <w:tblCellMar>
            <w:top w:w="0" w:type="dxa"/>
            <w:left w:w="108" w:type="dxa"/>
            <w:bottom w:w="0" w:type="dxa"/>
            <w:right w:w="108" w:type="dxa"/>
          </w:tblCellMar>
        </w:tblPrEx>
        <w:trPr>
          <w:trHeight w:val="533" w:hRule="atLeast"/>
          <w:jc w:val="center"/>
        </w:trPr>
        <w:tc>
          <w:tcPr>
            <w:tcW w:w="1555" w:type="dxa"/>
            <w:vMerge w:val="continue"/>
            <w:tcBorders>
              <w:left w:val="single" w:color="auto" w:sz="4" w:space="0"/>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226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340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708"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w:t>
            </w:r>
            <w:r>
              <w:rPr>
                <w:rFonts w:ascii="仿宋_GB2312" w:hAnsi="仿宋_GB2312" w:eastAsia="仿宋_GB2312" w:cs="仿宋_GB2312"/>
                <w:b w:val="0"/>
                <w:bCs/>
                <w:sz w:val="24"/>
                <w:szCs w:val="24"/>
              </w:rPr>
              <w:t>10</w:t>
            </w:r>
          </w:p>
        </w:tc>
        <w:tc>
          <w:tcPr>
            <w:tcW w:w="993"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c>
          <w:tcPr>
            <w:tcW w:w="992"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_GB2312" w:eastAsia="仿宋_GB2312" w:cs="仿宋_GB2312"/>
                <w:b w:val="0"/>
                <w:bCs/>
                <w:sz w:val="24"/>
                <w:szCs w:val="24"/>
              </w:rPr>
            </w:pPr>
          </w:p>
        </w:tc>
      </w:tr>
    </w:tbl>
    <w:p>
      <w:pPr>
        <w:spacing w:line="560" w:lineRule="exact"/>
      </w:pPr>
    </w:p>
    <w:p>
      <w:pPr>
        <w:widowControl/>
        <w:spacing w:line="560" w:lineRule="exact"/>
        <w:jc w:val="left"/>
      </w:pPr>
      <w:r>
        <w:br w:type="page"/>
      </w:r>
    </w:p>
    <w:p>
      <w:pPr>
        <w:spacing w:line="560" w:lineRule="exact"/>
      </w:pPr>
    </w:p>
    <w:p>
      <w:pPr>
        <w:spacing w:line="560" w:lineRule="exact"/>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分子医学学术型博士研究生</w:t>
      </w:r>
      <w:r>
        <w:rPr>
          <w:rFonts w:ascii="仿宋_GB2312" w:hAnsi="仿宋_GB2312" w:eastAsia="仿宋_GB2312" w:cs="仿宋_GB2312"/>
          <w:b/>
          <w:sz w:val="32"/>
          <w:szCs w:val="32"/>
          <w:highlight w:val="none"/>
        </w:rPr>
        <w:t>课程设置</w:t>
      </w:r>
      <w:r>
        <w:rPr>
          <w:rFonts w:hint="eastAsia" w:ascii="仿宋_GB2312" w:hAnsi="仿宋_GB2312" w:eastAsia="仿宋_GB2312" w:cs="仿宋_GB2312"/>
          <w:b/>
          <w:sz w:val="32"/>
          <w:szCs w:val="32"/>
          <w:highlight w:val="none"/>
        </w:rPr>
        <w:t>（</w:t>
      </w:r>
      <w:r>
        <w:rPr>
          <w:rFonts w:ascii="仿宋_GB2312" w:hAnsi="仿宋_GB2312" w:eastAsia="仿宋_GB2312" w:cs="仿宋_GB2312"/>
          <w:b/>
          <w:sz w:val="32"/>
          <w:szCs w:val="32"/>
          <w:highlight w:val="none"/>
        </w:rPr>
        <w:t>99J1</w:t>
      </w:r>
      <w:r>
        <w:rPr>
          <w:rFonts w:hint="eastAsia" w:ascii="仿宋_GB2312" w:hAnsi="仿宋_GB2312" w:eastAsia="仿宋_GB2312" w:cs="仿宋_GB2312"/>
          <w:b/>
          <w:sz w:val="32"/>
          <w:szCs w:val="32"/>
          <w:highlight w:val="none"/>
        </w:rPr>
        <w:t>）</w:t>
      </w:r>
    </w:p>
    <w:p>
      <w:pPr>
        <w:spacing w:line="560" w:lineRule="exact"/>
        <w:jc w:val="center"/>
        <w:rPr>
          <w:rFonts w:ascii="仿宋_GB2312" w:hAnsi="仿宋_GB2312" w:eastAsia="仿宋_GB2312" w:cs="仿宋_GB2312"/>
          <w:b/>
          <w:sz w:val="32"/>
          <w:szCs w:val="32"/>
        </w:rPr>
      </w:pPr>
    </w:p>
    <w:tbl>
      <w:tblPr>
        <w:tblStyle w:val="9"/>
        <w:tblW w:w="9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3402"/>
        <w:gridCol w:w="708"/>
        <w:gridCol w:w="993"/>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1555" w:type="dxa"/>
            <w:vAlign w:val="center"/>
          </w:tcPr>
          <w:p>
            <w:pPr>
              <w:spacing w:line="560" w:lineRule="exact"/>
              <w:jc w:val="center"/>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类别</w:t>
            </w:r>
          </w:p>
        </w:tc>
        <w:tc>
          <w:tcPr>
            <w:tcW w:w="2268" w:type="dxa"/>
            <w:vAlign w:val="center"/>
          </w:tcPr>
          <w:p>
            <w:pPr>
              <w:spacing w:line="560" w:lineRule="exact"/>
              <w:jc w:val="center"/>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模块</w:t>
            </w:r>
          </w:p>
        </w:tc>
        <w:tc>
          <w:tcPr>
            <w:tcW w:w="3402" w:type="dxa"/>
            <w:vAlign w:val="center"/>
          </w:tcPr>
          <w:p>
            <w:pPr>
              <w:spacing w:line="560" w:lineRule="exact"/>
              <w:jc w:val="center"/>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课程名称</w:t>
            </w:r>
          </w:p>
        </w:tc>
        <w:tc>
          <w:tcPr>
            <w:tcW w:w="708" w:type="dxa"/>
            <w:vAlign w:val="center"/>
          </w:tcPr>
          <w:p>
            <w:pPr>
              <w:spacing w:line="560" w:lineRule="exact"/>
              <w:jc w:val="center"/>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学分</w:t>
            </w:r>
          </w:p>
        </w:tc>
        <w:tc>
          <w:tcPr>
            <w:tcW w:w="993" w:type="dxa"/>
            <w:vAlign w:val="center"/>
          </w:tcPr>
          <w:p>
            <w:pPr>
              <w:spacing w:line="56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学时数</w:t>
            </w:r>
          </w:p>
        </w:tc>
        <w:tc>
          <w:tcPr>
            <w:tcW w:w="1066" w:type="dxa"/>
            <w:vAlign w:val="center"/>
          </w:tcPr>
          <w:p>
            <w:pPr>
              <w:spacing w:line="560" w:lineRule="exact"/>
              <w:jc w:val="center"/>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55" w:type="dxa"/>
            <w:vMerge w:val="restart"/>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公共必修课</w:t>
            </w: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公共必修课程模块</w:t>
            </w:r>
          </w:p>
        </w:tc>
        <w:tc>
          <w:tcPr>
            <w:tcW w:w="3402" w:type="dxa"/>
            <w:vAlign w:val="center"/>
          </w:tcPr>
          <w:p>
            <w:pPr>
              <w:widowControl/>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中国马克思主义与当代</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32</w:t>
            </w:r>
          </w:p>
        </w:tc>
        <w:tc>
          <w:tcPr>
            <w:tcW w:w="1066"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jc w:val="center"/>
        </w:trPr>
        <w:tc>
          <w:tcPr>
            <w:tcW w:w="1555" w:type="dxa"/>
            <w:vMerge w:val="continue"/>
            <w:vAlign w:val="center"/>
          </w:tcPr>
          <w:p>
            <w:pPr>
              <w:spacing w:line="560" w:lineRule="exact"/>
              <w:jc w:val="center"/>
              <w:rPr>
                <w:rFonts w:ascii="仿宋_GB2312" w:hAnsi="仿宋_GB2312" w:eastAsia="仿宋_GB2312" w:cs="仿宋_GB2312"/>
                <w:b w:val="0"/>
                <w:bCs/>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公共必修课程模块</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博士生英语</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32</w:t>
            </w:r>
          </w:p>
        </w:tc>
        <w:tc>
          <w:tcPr>
            <w:tcW w:w="1066"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专业必修课</w:t>
            </w: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基础理论知识课程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基础医学研究进展</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32</w:t>
            </w:r>
          </w:p>
        </w:tc>
        <w:tc>
          <w:tcPr>
            <w:tcW w:w="1066"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restart"/>
            <w:vAlign w:val="center"/>
          </w:tcPr>
          <w:p>
            <w:pPr>
              <w:spacing w:line="560" w:lineRule="exact"/>
              <w:jc w:val="center"/>
              <w:rPr>
                <w:rFonts w:ascii="仿宋_GB2312" w:hAnsi="仿宋_GB2312" w:eastAsia="仿宋_GB2312" w:cs="仿宋_GB2312"/>
                <w:b w:val="0"/>
                <w:bCs/>
                <w:color w:val="FF0000"/>
                <w:kern w:val="0"/>
                <w:sz w:val="24"/>
                <w:szCs w:val="24"/>
              </w:rPr>
            </w:pPr>
            <w:r>
              <w:rPr>
                <w:rFonts w:hint="eastAsia" w:ascii="仿宋_GB2312" w:hAnsi="仿宋_GB2312" w:eastAsia="仿宋_GB2312" w:cs="仿宋_GB2312"/>
                <w:b w:val="0"/>
                <w:bCs/>
                <w:kern w:val="0"/>
                <w:sz w:val="24"/>
                <w:szCs w:val="24"/>
              </w:rPr>
              <w:t>专业选修课</w:t>
            </w: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专业基础课程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高级病理生理学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32</w:t>
            </w:r>
          </w:p>
        </w:tc>
        <w:tc>
          <w:tcPr>
            <w:tcW w:w="1066" w:type="dxa"/>
            <w:vMerge w:val="restart"/>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八</w:t>
            </w:r>
          </w:p>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选</w:t>
            </w:r>
          </w:p>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专业基础课程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肿瘤学进展</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专业基础课程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细胞与分子免疫学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w:t>
            </w:r>
            <w:r>
              <w:rPr>
                <w:rFonts w:ascii="仿宋_GB2312" w:hAnsi="仿宋_GB2312" w:eastAsia="仿宋_GB2312" w:cs="仿宋_GB2312"/>
                <w:b w:val="0"/>
                <w:bCs/>
                <w:kern w:val="0"/>
                <w:sz w:val="24"/>
                <w:szCs w:val="24"/>
              </w:rPr>
              <w:t>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专业基础课程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肿瘤药理分子生物学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w:t>
            </w:r>
            <w:r>
              <w:rPr>
                <w:rFonts w:ascii="仿宋_GB2312" w:hAnsi="仿宋_GB2312" w:eastAsia="仿宋_GB2312" w:cs="仿宋_GB2312"/>
                <w:b w:val="0"/>
                <w:bCs/>
                <w:kern w:val="0"/>
                <w:sz w:val="24"/>
                <w:szCs w:val="24"/>
              </w:rPr>
              <w:t>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基础理论知识课程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高级分子生物学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w:t>
            </w:r>
            <w:r>
              <w:rPr>
                <w:rFonts w:ascii="仿宋_GB2312" w:hAnsi="仿宋_GB2312" w:eastAsia="仿宋_GB2312" w:cs="仿宋_GB2312"/>
                <w:b w:val="0"/>
                <w:bCs/>
                <w:kern w:val="0"/>
                <w:sz w:val="24"/>
                <w:szCs w:val="24"/>
              </w:rPr>
              <w:t>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肿瘤相关病毒基础与转化医学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1.5</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ascii="仿宋_GB2312" w:hAnsi="仿宋_GB2312" w:eastAsia="仿宋_GB2312" w:cs="仿宋_GB2312"/>
                <w:b w:val="0"/>
                <w:bCs/>
                <w:kern w:val="0"/>
                <w:sz w:val="24"/>
                <w:szCs w:val="24"/>
              </w:rPr>
              <w:t>24</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专业基础课程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细胞信号转导的基础与临床</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w:t>
            </w:r>
            <w:r>
              <w:rPr>
                <w:rFonts w:ascii="仿宋_GB2312" w:hAnsi="仿宋_GB2312" w:eastAsia="仿宋_GB2312" w:cs="仿宋_GB2312"/>
                <w:b w:val="0"/>
                <w:bCs/>
                <w:kern w:val="0"/>
                <w:sz w:val="24"/>
                <w:szCs w:val="24"/>
              </w:rPr>
              <w:t>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Merge w:val="continue"/>
            <w:vAlign w:val="center"/>
          </w:tcPr>
          <w:p>
            <w:pPr>
              <w:spacing w:line="560" w:lineRule="exact"/>
              <w:jc w:val="center"/>
              <w:rPr>
                <w:rFonts w:ascii="仿宋_GB2312" w:hAnsi="仿宋_GB2312" w:eastAsia="仿宋_GB2312" w:cs="仿宋_GB2312"/>
                <w:b w:val="0"/>
                <w:bCs/>
                <w:color w:val="FF0000"/>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专业课程</w:t>
            </w:r>
          </w:p>
        </w:tc>
        <w:tc>
          <w:tcPr>
            <w:tcW w:w="3402"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生物信息学</w:t>
            </w: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2</w:t>
            </w:r>
          </w:p>
        </w:tc>
        <w:tc>
          <w:tcPr>
            <w:tcW w:w="993"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3</w:t>
            </w:r>
            <w:r>
              <w:rPr>
                <w:rFonts w:ascii="仿宋_GB2312" w:hAnsi="仿宋_GB2312" w:eastAsia="仿宋_GB2312" w:cs="仿宋_GB2312"/>
                <w:b w:val="0"/>
                <w:bCs/>
                <w:kern w:val="0"/>
                <w:sz w:val="24"/>
                <w:szCs w:val="24"/>
              </w:rPr>
              <w:t>2</w:t>
            </w:r>
          </w:p>
        </w:tc>
        <w:tc>
          <w:tcPr>
            <w:tcW w:w="1066" w:type="dxa"/>
            <w:vMerge w:val="continue"/>
            <w:vAlign w:val="center"/>
          </w:tcPr>
          <w:p>
            <w:pPr>
              <w:spacing w:line="560" w:lineRule="exact"/>
              <w:jc w:val="center"/>
              <w:rPr>
                <w:rFonts w:ascii="仿宋_GB2312" w:hAnsi="仿宋_GB2312" w:eastAsia="仿宋_GB2312" w:cs="仿宋_GB2312"/>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555" w:type="dxa"/>
            <w:vAlign w:val="center"/>
          </w:tcPr>
          <w:p>
            <w:pPr>
              <w:spacing w:line="560" w:lineRule="exact"/>
              <w:jc w:val="center"/>
              <w:rPr>
                <w:rFonts w:ascii="仿宋_GB2312" w:hAnsi="仿宋_GB2312" w:eastAsia="仿宋_GB2312" w:cs="仿宋_GB2312"/>
                <w:b w:val="0"/>
                <w:bCs/>
                <w:kern w:val="0"/>
                <w:sz w:val="24"/>
                <w:szCs w:val="24"/>
              </w:rPr>
            </w:pPr>
          </w:p>
        </w:tc>
        <w:tc>
          <w:tcPr>
            <w:tcW w:w="2268" w:type="dxa"/>
            <w:vAlign w:val="center"/>
          </w:tcPr>
          <w:p>
            <w:pPr>
              <w:spacing w:line="560" w:lineRule="exact"/>
              <w:jc w:val="center"/>
              <w:rPr>
                <w:rFonts w:ascii="仿宋_GB2312" w:hAnsi="仿宋_GB2312" w:eastAsia="仿宋_GB2312" w:cs="仿宋_GB2312"/>
                <w:b w:val="0"/>
                <w:bCs/>
                <w:kern w:val="0"/>
                <w:sz w:val="24"/>
                <w:szCs w:val="24"/>
              </w:rPr>
            </w:pPr>
          </w:p>
        </w:tc>
        <w:tc>
          <w:tcPr>
            <w:tcW w:w="3402" w:type="dxa"/>
            <w:vAlign w:val="center"/>
          </w:tcPr>
          <w:p>
            <w:pPr>
              <w:spacing w:line="560" w:lineRule="exact"/>
              <w:jc w:val="center"/>
              <w:rPr>
                <w:rFonts w:ascii="仿宋_GB2312" w:hAnsi="仿宋_GB2312" w:eastAsia="仿宋_GB2312" w:cs="仿宋_GB2312"/>
                <w:b w:val="0"/>
                <w:bCs/>
                <w:kern w:val="0"/>
                <w:sz w:val="24"/>
                <w:szCs w:val="24"/>
              </w:rPr>
            </w:pPr>
          </w:p>
        </w:tc>
        <w:tc>
          <w:tcPr>
            <w:tcW w:w="708" w:type="dxa"/>
            <w:vAlign w:val="center"/>
          </w:tcPr>
          <w:p>
            <w:pPr>
              <w:spacing w:line="560" w:lineRule="exact"/>
              <w:jc w:val="center"/>
              <w:rPr>
                <w:rFonts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rPr>
              <w:t>≥</w:t>
            </w:r>
            <w:r>
              <w:rPr>
                <w:rFonts w:ascii="仿宋_GB2312" w:hAnsi="仿宋_GB2312" w:eastAsia="仿宋_GB2312" w:cs="仿宋_GB2312"/>
                <w:b w:val="0"/>
                <w:bCs/>
                <w:kern w:val="0"/>
                <w:sz w:val="24"/>
                <w:szCs w:val="24"/>
              </w:rPr>
              <w:t>10</w:t>
            </w:r>
          </w:p>
        </w:tc>
        <w:tc>
          <w:tcPr>
            <w:tcW w:w="993" w:type="dxa"/>
            <w:vAlign w:val="center"/>
          </w:tcPr>
          <w:p>
            <w:pPr>
              <w:spacing w:line="560" w:lineRule="exact"/>
              <w:jc w:val="center"/>
              <w:rPr>
                <w:rFonts w:ascii="仿宋_GB2312" w:hAnsi="仿宋_GB2312" w:eastAsia="仿宋_GB2312" w:cs="仿宋_GB2312"/>
                <w:b w:val="0"/>
                <w:bCs/>
                <w:kern w:val="0"/>
                <w:sz w:val="24"/>
                <w:szCs w:val="24"/>
              </w:rPr>
            </w:pPr>
          </w:p>
        </w:tc>
        <w:tc>
          <w:tcPr>
            <w:tcW w:w="1066" w:type="dxa"/>
            <w:vAlign w:val="center"/>
          </w:tcPr>
          <w:p>
            <w:pPr>
              <w:spacing w:line="560" w:lineRule="exact"/>
              <w:jc w:val="center"/>
              <w:rPr>
                <w:rFonts w:ascii="仿宋_GB2312" w:hAnsi="仿宋_GB2312" w:eastAsia="仿宋_GB2312" w:cs="仿宋_GB2312"/>
                <w:b w:val="0"/>
                <w:bCs/>
                <w:color w:val="FF0000"/>
                <w:kern w:val="0"/>
                <w:sz w:val="24"/>
                <w:szCs w:val="24"/>
              </w:rPr>
            </w:pPr>
          </w:p>
        </w:tc>
      </w:tr>
    </w:tbl>
    <w:p>
      <w:pPr>
        <w:spacing w:line="560" w:lineRule="exact"/>
        <w:ind w:firstLine="42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B1A"/>
    <w:rsid w:val="00013F1A"/>
    <w:rsid w:val="00016404"/>
    <w:rsid w:val="00026679"/>
    <w:rsid w:val="00027FCF"/>
    <w:rsid w:val="00035A6C"/>
    <w:rsid w:val="00043CF7"/>
    <w:rsid w:val="00050E6A"/>
    <w:rsid w:val="00056F4E"/>
    <w:rsid w:val="0006250C"/>
    <w:rsid w:val="000754E0"/>
    <w:rsid w:val="00077ED0"/>
    <w:rsid w:val="000871BF"/>
    <w:rsid w:val="000917F9"/>
    <w:rsid w:val="000955B7"/>
    <w:rsid w:val="00097F32"/>
    <w:rsid w:val="000A3441"/>
    <w:rsid w:val="000A39E6"/>
    <w:rsid w:val="000A4BC1"/>
    <w:rsid w:val="000A7C40"/>
    <w:rsid w:val="000B3C5E"/>
    <w:rsid w:val="000B3F6A"/>
    <w:rsid w:val="000B4C63"/>
    <w:rsid w:val="000D0AC1"/>
    <w:rsid w:val="000D2107"/>
    <w:rsid w:val="000D2B65"/>
    <w:rsid w:val="000D558B"/>
    <w:rsid w:val="000E33DF"/>
    <w:rsid w:val="000E79C8"/>
    <w:rsid w:val="000F79EE"/>
    <w:rsid w:val="00100DA3"/>
    <w:rsid w:val="0011369A"/>
    <w:rsid w:val="001172C1"/>
    <w:rsid w:val="0012180B"/>
    <w:rsid w:val="00125794"/>
    <w:rsid w:val="00130CDD"/>
    <w:rsid w:val="00131CF0"/>
    <w:rsid w:val="00137978"/>
    <w:rsid w:val="001404DA"/>
    <w:rsid w:val="00147D3A"/>
    <w:rsid w:val="00157E5A"/>
    <w:rsid w:val="00172B5C"/>
    <w:rsid w:val="00174887"/>
    <w:rsid w:val="00183083"/>
    <w:rsid w:val="00192BA5"/>
    <w:rsid w:val="00193A84"/>
    <w:rsid w:val="0019648C"/>
    <w:rsid w:val="001A0A95"/>
    <w:rsid w:val="001A4926"/>
    <w:rsid w:val="001A7E9D"/>
    <w:rsid w:val="001B0375"/>
    <w:rsid w:val="001B0BEF"/>
    <w:rsid w:val="001B6FFE"/>
    <w:rsid w:val="001C22DB"/>
    <w:rsid w:val="001D41E6"/>
    <w:rsid w:val="001D4757"/>
    <w:rsid w:val="001D55AC"/>
    <w:rsid w:val="001D56CD"/>
    <w:rsid w:val="001E1193"/>
    <w:rsid w:val="001E4FD2"/>
    <w:rsid w:val="001E5A9A"/>
    <w:rsid w:val="001E6E0A"/>
    <w:rsid w:val="001F52F6"/>
    <w:rsid w:val="001F7F8B"/>
    <w:rsid w:val="00200BF3"/>
    <w:rsid w:val="00204E58"/>
    <w:rsid w:val="00205EBD"/>
    <w:rsid w:val="00222F47"/>
    <w:rsid w:val="00225F17"/>
    <w:rsid w:val="00241C59"/>
    <w:rsid w:val="00247C83"/>
    <w:rsid w:val="002702D3"/>
    <w:rsid w:val="00271365"/>
    <w:rsid w:val="00280326"/>
    <w:rsid w:val="00286846"/>
    <w:rsid w:val="002879F9"/>
    <w:rsid w:val="0029182D"/>
    <w:rsid w:val="00295FBA"/>
    <w:rsid w:val="002A7F53"/>
    <w:rsid w:val="002C2D18"/>
    <w:rsid w:val="002C674A"/>
    <w:rsid w:val="002D3EAD"/>
    <w:rsid w:val="002E340E"/>
    <w:rsid w:val="002F6E23"/>
    <w:rsid w:val="00301FA2"/>
    <w:rsid w:val="003045CC"/>
    <w:rsid w:val="00312C60"/>
    <w:rsid w:val="00312F21"/>
    <w:rsid w:val="003151E7"/>
    <w:rsid w:val="0032023D"/>
    <w:rsid w:val="00324FE8"/>
    <w:rsid w:val="00325BB8"/>
    <w:rsid w:val="00330D26"/>
    <w:rsid w:val="00332AAA"/>
    <w:rsid w:val="00340C48"/>
    <w:rsid w:val="003614A7"/>
    <w:rsid w:val="003636FF"/>
    <w:rsid w:val="00365F32"/>
    <w:rsid w:val="00375D6F"/>
    <w:rsid w:val="00380196"/>
    <w:rsid w:val="00380318"/>
    <w:rsid w:val="0038497E"/>
    <w:rsid w:val="00391F19"/>
    <w:rsid w:val="00396276"/>
    <w:rsid w:val="003A2F2C"/>
    <w:rsid w:val="003A6F42"/>
    <w:rsid w:val="003B07F1"/>
    <w:rsid w:val="003D083C"/>
    <w:rsid w:val="003D2057"/>
    <w:rsid w:val="003E3E31"/>
    <w:rsid w:val="003F593B"/>
    <w:rsid w:val="003F5999"/>
    <w:rsid w:val="00420F13"/>
    <w:rsid w:val="004231E1"/>
    <w:rsid w:val="00426FED"/>
    <w:rsid w:val="00427A6E"/>
    <w:rsid w:val="004464EE"/>
    <w:rsid w:val="004474D2"/>
    <w:rsid w:val="00450AB2"/>
    <w:rsid w:val="0045282A"/>
    <w:rsid w:val="00453CDC"/>
    <w:rsid w:val="00455008"/>
    <w:rsid w:val="00457D0A"/>
    <w:rsid w:val="004604C5"/>
    <w:rsid w:val="00475956"/>
    <w:rsid w:val="00481BB3"/>
    <w:rsid w:val="00487376"/>
    <w:rsid w:val="004A2C86"/>
    <w:rsid w:val="004A5D5C"/>
    <w:rsid w:val="004B1678"/>
    <w:rsid w:val="004B1D21"/>
    <w:rsid w:val="004B5A84"/>
    <w:rsid w:val="004B791A"/>
    <w:rsid w:val="004C65A0"/>
    <w:rsid w:val="004C719C"/>
    <w:rsid w:val="004D4513"/>
    <w:rsid w:val="004D6177"/>
    <w:rsid w:val="004E2FC6"/>
    <w:rsid w:val="004E6EE8"/>
    <w:rsid w:val="004F7ED6"/>
    <w:rsid w:val="00500D90"/>
    <w:rsid w:val="005044E8"/>
    <w:rsid w:val="005056A6"/>
    <w:rsid w:val="005144D0"/>
    <w:rsid w:val="00516B9C"/>
    <w:rsid w:val="00526932"/>
    <w:rsid w:val="00531F86"/>
    <w:rsid w:val="00542B59"/>
    <w:rsid w:val="005666CB"/>
    <w:rsid w:val="0056765B"/>
    <w:rsid w:val="00570E3F"/>
    <w:rsid w:val="0057292D"/>
    <w:rsid w:val="00573422"/>
    <w:rsid w:val="005735DC"/>
    <w:rsid w:val="005754E5"/>
    <w:rsid w:val="00576256"/>
    <w:rsid w:val="0058084B"/>
    <w:rsid w:val="00585786"/>
    <w:rsid w:val="005858F6"/>
    <w:rsid w:val="00585A9B"/>
    <w:rsid w:val="00585DCD"/>
    <w:rsid w:val="005860C0"/>
    <w:rsid w:val="00596220"/>
    <w:rsid w:val="005A3755"/>
    <w:rsid w:val="005B18C0"/>
    <w:rsid w:val="005B5973"/>
    <w:rsid w:val="005C7DF8"/>
    <w:rsid w:val="005D0B91"/>
    <w:rsid w:val="005D153F"/>
    <w:rsid w:val="005D3631"/>
    <w:rsid w:val="005D4B45"/>
    <w:rsid w:val="005D5F1A"/>
    <w:rsid w:val="005E3C6B"/>
    <w:rsid w:val="005F32FF"/>
    <w:rsid w:val="005F7DF1"/>
    <w:rsid w:val="00606BBB"/>
    <w:rsid w:val="00614927"/>
    <w:rsid w:val="006268DB"/>
    <w:rsid w:val="00626DA4"/>
    <w:rsid w:val="006476ED"/>
    <w:rsid w:val="00652088"/>
    <w:rsid w:val="006543EE"/>
    <w:rsid w:val="00656EBB"/>
    <w:rsid w:val="00660E05"/>
    <w:rsid w:val="00666C98"/>
    <w:rsid w:val="0067147C"/>
    <w:rsid w:val="00686C38"/>
    <w:rsid w:val="00687F72"/>
    <w:rsid w:val="00691AF3"/>
    <w:rsid w:val="00695AD8"/>
    <w:rsid w:val="006A0EDC"/>
    <w:rsid w:val="006A1283"/>
    <w:rsid w:val="006A3D40"/>
    <w:rsid w:val="006B3C04"/>
    <w:rsid w:val="006C2AF5"/>
    <w:rsid w:val="006C3C99"/>
    <w:rsid w:val="006E442F"/>
    <w:rsid w:val="006E6735"/>
    <w:rsid w:val="006F52CE"/>
    <w:rsid w:val="006F73FF"/>
    <w:rsid w:val="007066AE"/>
    <w:rsid w:val="00710E64"/>
    <w:rsid w:val="00712A24"/>
    <w:rsid w:val="00712BB9"/>
    <w:rsid w:val="0072215E"/>
    <w:rsid w:val="007221FE"/>
    <w:rsid w:val="007327BF"/>
    <w:rsid w:val="00752915"/>
    <w:rsid w:val="00755328"/>
    <w:rsid w:val="00761771"/>
    <w:rsid w:val="007618FC"/>
    <w:rsid w:val="00762810"/>
    <w:rsid w:val="00764E89"/>
    <w:rsid w:val="007761DB"/>
    <w:rsid w:val="007778E2"/>
    <w:rsid w:val="00791131"/>
    <w:rsid w:val="007928C8"/>
    <w:rsid w:val="00793E71"/>
    <w:rsid w:val="00795B45"/>
    <w:rsid w:val="007A4769"/>
    <w:rsid w:val="007A55D4"/>
    <w:rsid w:val="007A6C4C"/>
    <w:rsid w:val="007A7982"/>
    <w:rsid w:val="007B1A60"/>
    <w:rsid w:val="007B4C0A"/>
    <w:rsid w:val="007B5914"/>
    <w:rsid w:val="007B5DEF"/>
    <w:rsid w:val="007B6C34"/>
    <w:rsid w:val="007C6C08"/>
    <w:rsid w:val="007C7264"/>
    <w:rsid w:val="007D5C17"/>
    <w:rsid w:val="007E321E"/>
    <w:rsid w:val="007E3440"/>
    <w:rsid w:val="007E399E"/>
    <w:rsid w:val="007F081E"/>
    <w:rsid w:val="007F177D"/>
    <w:rsid w:val="00810720"/>
    <w:rsid w:val="008166A6"/>
    <w:rsid w:val="00816BFD"/>
    <w:rsid w:val="008325F2"/>
    <w:rsid w:val="00835893"/>
    <w:rsid w:val="00843965"/>
    <w:rsid w:val="00846DEA"/>
    <w:rsid w:val="008608EE"/>
    <w:rsid w:val="00863700"/>
    <w:rsid w:val="008639E0"/>
    <w:rsid w:val="00863C2C"/>
    <w:rsid w:val="0086427E"/>
    <w:rsid w:val="0087041E"/>
    <w:rsid w:val="008757DF"/>
    <w:rsid w:val="008831F1"/>
    <w:rsid w:val="00885524"/>
    <w:rsid w:val="00887332"/>
    <w:rsid w:val="008921C3"/>
    <w:rsid w:val="008A5BF5"/>
    <w:rsid w:val="008A7111"/>
    <w:rsid w:val="008B1D22"/>
    <w:rsid w:val="008B2E7D"/>
    <w:rsid w:val="008C229B"/>
    <w:rsid w:val="008D2287"/>
    <w:rsid w:val="008D24A6"/>
    <w:rsid w:val="008D49AC"/>
    <w:rsid w:val="008F3AB0"/>
    <w:rsid w:val="008F7128"/>
    <w:rsid w:val="00901007"/>
    <w:rsid w:val="009114F9"/>
    <w:rsid w:val="009122A3"/>
    <w:rsid w:val="0091375E"/>
    <w:rsid w:val="00914796"/>
    <w:rsid w:val="00914CD0"/>
    <w:rsid w:val="00915AD5"/>
    <w:rsid w:val="00922169"/>
    <w:rsid w:val="009348BE"/>
    <w:rsid w:val="00942F7F"/>
    <w:rsid w:val="00946434"/>
    <w:rsid w:val="0095129B"/>
    <w:rsid w:val="00952B7D"/>
    <w:rsid w:val="009563CF"/>
    <w:rsid w:val="00966C39"/>
    <w:rsid w:val="00980D5A"/>
    <w:rsid w:val="00981F77"/>
    <w:rsid w:val="00991FF8"/>
    <w:rsid w:val="009947AC"/>
    <w:rsid w:val="00997B46"/>
    <w:rsid w:val="009B46D6"/>
    <w:rsid w:val="009B7FE2"/>
    <w:rsid w:val="009C6B5A"/>
    <w:rsid w:val="009D077B"/>
    <w:rsid w:val="009D0C28"/>
    <w:rsid w:val="009D2B06"/>
    <w:rsid w:val="009D615D"/>
    <w:rsid w:val="009E2171"/>
    <w:rsid w:val="009F2B54"/>
    <w:rsid w:val="009F6141"/>
    <w:rsid w:val="00A020D2"/>
    <w:rsid w:val="00A05755"/>
    <w:rsid w:val="00A076BE"/>
    <w:rsid w:val="00A11457"/>
    <w:rsid w:val="00A12C9C"/>
    <w:rsid w:val="00A14297"/>
    <w:rsid w:val="00A15BF5"/>
    <w:rsid w:val="00A2128D"/>
    <w:rsid w:val="00A21974"/>
    <w:rsid w:val="00A2652E"/>
    <w:rsid w:val="00A311C9"/>
    <w:rsid w:val="00A4276A"/>
    <w:rsid w:val="00A458FB"/>
    <w:rsid w:val="00A521A9"/>
    <w:rsid w:val="00A53E00"/>
    <w:rsid w:val="00A56A72"/>
    <w:rsid w:val="00A61A66"/>
    <w:rsid w:val="00A64E96"/>
    <w:rsid w:val="00A66566"/>
    <w:rsid w:val="00A8540A"/>
    <w:rsid w:val="00A911A7"/>
    <w:rsid w:val="00A966AE"/>
    <w:rsid w:val="00A97B01"/>
    <w:rsid w:val="00A97D51"/>
    <w:rsid w:val="00A97E68"/>
    <w:rsid w:val="00AA440A"/>
    <w:rsid w:val="00AA5195"/>
    <w:rsid w:val="00AB0264"/>
    <w:rsid w:val="00AB51B3"/>
    <w:rsid w:val="00AB5DDD"/>
    <w:rsid w:val="00AC1F09"/>
    <w:rsid w:val="00AC352B"/>
    <w:rsid w:val="00AE07D4"/>
    <w:rsid w:val="00AE5352"/>
    <w:rsid w:val="00AF7C42"/>
    <w:rsid w:val="00B01C21"/>
    <w:rsid w:val="00B03F01"/>
    <w:rsid w:val="00B100AE"/>
    <w:rsid w:val="00B15822"/>
    <w:rsid w:val="00B17E6F"/>
    <w:rsid w:val="00B23BA4"/>
    <w:rsid w:val="00B270CF"/>
    <w:rsid w:val="00B327B8"/>
    <w:rsid w:val="00B4233C"/>
    <w:rsid w:val="00B42FCA"/>
    <w:rsid w:val="00B45164"/>
    <w:rsid w:val="00B45AFC"/>
    <w:rsid w:val="00B51DBA"/>
    <w:rsid w:val="00B55682"/>
    <w:rsid w:val="00B64F68"/>
    <w:rsid w:val="00B67347"/>
    <w:rsid w:val="00B71337"/>
    <w:rsid w:val="00B96426"/>
    <w:rsid w:val="00BA47C6"/>
    <w:rsid w:val="00BA718B"/>
    <w:rsid w:val="00BB4F23"/>
    <w:rsid w:val="00BC4887"/>
    <w:rsid w:val="00BD4562"/>
    <w:rsid w:val="00BD4CFA"/>
    <w:rsid w:val="00BE6B3B"/>
    <w:rsid w:val="00BE7DB6"/>
    <w:rsid w:val="00BF41D7"/>
    <w:rsid w:val="00BF75CD"/>
    <w:rsid w:val="00C1164B"/>
    <w:rsid w:val="00C12F5B"/>
    <w:rsid w:val="00C20C65"/>
    <w:rsid w:val="00C251E8"/>
    <w:rsid w:val="00C263EB"/>
    <w:rsid w:val="00C26AED"/>
    <w:rsid w:val="00C33395"/>
    <w:rsid w:val="00C35B1A"/>
    <w:rsid w:val="00C41002"/>
    <w:rsid w:val="00C41857"/>
    <w:rsid w:val="00C426ED"/>
    <w:rsid w:val="00C43DEB"/>
    <w:rsid w:val="00C53D41"/>
    <w:rsid w:val="00C546B9"/>
    <w:rsid w:val="00C61488"/>
    <w:rsid w:val="00C658A1"/>
    <w:rsid w:val="00C67D67"/>
    <w:rsid w:val="00C72F34"/>
    <w:rsid w:val="00C83796"/>
    <w:rsid w:val="00C85B0D"/>
    <w:rsid w:val="00C85B88"/>
    <w:rsid w:val="00C92FCB"/>
    <w:rsid w:val="00C940EF"/>
    <w:rsid w:val="00C956DA"/>
    <w:rsid w:val="00C96BBC"/>
    <w:rsid w:val="00CA49F6"/>
    <w:rsid w:val="00CA7F67"/>
    <w:rsid w:val="00CA7FA3"/>
    <w:rsid w:val="00CB3065"/>
    <w:rsid w:val="00CC7875"/>
    <w:rsid w:val="00CD1244"/>
    <w:rsid w:val="00CD7CE8"/>
    <w:rsid w:val="00CE5DC7"/>
    <w:rsid w:val="00CE79EC"/>
    <w:rsid w:val="00CF3179"/>
    <w:rsid w:val="00CF35AB"/>
    <w:rsid w:val="00D0043F"/>
    <w:rsid w:val="00D019DA"/>
    <w:rsid w:val="00D11545"/>
    <w:rsid w:val="00D217F7"/>
    <w:rsid w:val="00D25AFB"/>
    <w:rsid w:val="00D25FD3"/>
    <w:rsid w:val="00D412DF"/>
    <w:rsid w:val="00D41450"/>
    <w:rsid w:val="00D43AC7"/>
    <w:rsid w:val="00D43DFC"/>
    <w:rsid w:val="00D51F79"/>
    <w:rsid w:val="00D52787"/>
    <w:rsid w:val="00D60E94"/>
    <w:rsid w:val="00D82DCB"/>
    <w:rsid w:val="00D8404B"/>
    <w:rsid w:val="00D91F22"/>
    <w:rsid w:val="00DA12D4"/>
    <w:rsid w:val="00DA1732"/>
    <w:rsid w:val="00DA3F57"/>
    <w:rsid w:val="00DC0588"/>
    <w:rsid w:val="00DC06CF"/>
    <w:rsid w:val="00DC110B"/>
    <w:rsid w:val="00DC59FA"/>
    <w:rsid w:val="00DC74D4"/>
    <w:rsid w:val="00DD133D"/>
    <w:rsid w:val="00DD74BE"/>
    <w:rsid w:val="00DE09B4"/>
    <w:rsid w:val="00DE2A0D"/>
    <w:rsid w:val="00DE5BB6"/>
    <w:rsid w:val="00DF0F85"/>
    <w:rsid w:val="00DF2CA7"/>
    <w:rsid w:val="00DF4C3B"/>
    <w:rsid w:val="00DF6005"/>
    <w:rsid w:val="00E0439F"/>
    <w:rsid w:val="00E052C5"/>
    <w:rsid w:val="00E0548D"/>
    <w:rsid w:val="00E15147"/>
    <w:rsid w:val="00E20752"/>
    <w:rsid w:val="00E2344C"/>
    <w:rsid w:val="00E35B95"/>
    <w:rsid w:val="00E37114"/>
    <w:rsid w:val="00E37E76"/>
    <w:rsid w:val="00E451C5"/>
    <w:rsid w:val="00E50845"/>
    <w:rsid w:val="00E557E7"/>
    <w:rsid w:val="00E72FBE"/>
    <w:rsid w:val="00E75E3A"/>
    <w:rsid w:val="00E858BC"/>
    <w:rsid w:val="00E85AFA"/>
    <w:rsid w:val="00E90154"/>
    <w:rsid w:val="00E965AC"/>
    <w:rsid w:val="00EF3EE1"/>
    <w:rsid w:val="00EF7F02"/>
    <w:rsid w:val="00F0644C"/>
    <w:rsid w:val="00F06DE4"/>
    <w:rsid w:val="00F07CE5"/>
    <w:rsid w:val="00F16F35"/>
    <w:rsid w:val="00F20A9A"/>
    <w:rsid w:val="00F23788"/>
    <w:rsid w:val="00F25BB0"/>
    <w:rsid w:val="00F40FCA"/>
    <w:rsid w:val="00F47BD4"/>
    <w:rsid w:val="00F56EC4"/>
    <w:rsid w:val="00F657C5"/>
    <w:rsid w:val="00F70D32"/>
    <w:rsid w:val="00F70F52"/>
    <w:rsid w:val="00F75488"/>
    <w:rsid w:val="00F76805"/>
    <w:rsid w:val="00F77620"/>
    <w:rsid w:val="00F81344"/>
    <w:rsid w:val="00F83E9A"/>
    <w:rsid w:val="00F8529C"/>
    <w:rsid w:val="00F93114"/>
    <w:rsid w:val="00F94845"/>
    <w:rsid w:val="00F97F13"/>
    <w:rsid w:val="00FA04C5"/>
    <w:rsid w:val="00FA3781"/>
    <w:rsid w:val="00FB4AE0"/>
    <w:rsid w:val="00FC03E3"/>
    <w:rsid w:val="00FD1EA0"/>
    <w:rsid w:val="00FD2C22"/>
    <w:rsid w:val="00FD4885"/>
    <w:rsid w:val="00FD78FB"/>
    <w:rsid w:val="00FE060F"/>
    <w:rsid w:val="00FF163E"/>
    <w:rsid w:val="00FF32A7"/>
    <w:rsid w:val="00FF4954"/>
    <w:rsid w:val="178F5592"/>
    <w:rsid w:val="363E2205"/>
    <w:rsid w:val="3DDA3F0D"/>
    <w:rsid w:val="43837469"/>
    <w:rsid w:val="488C3F97"/>
    <w:rsid w:val="4DFA0CB0"/>
    <w:rsid w:val="4F9E3301"/>
    <w:rsid w:val="513C67C3"/>
    <w:rsid w:val="55F10BEA"/>
    <w:rsid w:val="58A27DE8"/>
    <w:rsid w:val="58AF211B"/>
    <w:rsid w:val="5B0818FB"/>
    <w:rsid w:val="5C112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4"/>
    <w:qFormat/>
    <w:uiPriority w:val="9"/>
    <w:pPr>
      <w:outlineLvl w:val="1"/>
    </w:pPr>
    <w:rPr>
      <w:rFonts w:ascii="黑体" w:hAnsi="黑体" w:eastAsia="黑体"/>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标题 2 Char"/>
    <w:basedOn w:val="10"/>
    <w:link w:val="2"/>
    <w:qFormat/>
    <w:uiPriority w:val="9"/>
    <w:rPr>
      <w:rFonts w:ascii="黑体" w:hAnsi="黑体" w:eastAsia="黑体" w:cs="Times New Roman"/>
      <w:b/>
      <w:bCs/>
      <w:sz w:val="32"/>
      <w:szCs w:val="32"/>
    </w:rPr>
  </w:style>
  <w:style w:type="character" w:customStyle="1" w:styleId="15">
    <w:name w:val="批注框文本 Char"/>
    <w:basedOn w:val="10"/>
    <w:link w:val="4"/>
    <w:semiHidden/>
    <w:qFormat/>
    <w:uiPriority w:val="99"/>
    <w:rPr>
      <w:rFonts w:ascii="Times New Roman" w:hAnsi="Times New Roman" w:eastAsia="宋体" w:cs="Times New Roman"/>
      <w:sz w:val="18"/>
      <w:szCs w:val="18"/>
    </w:rPr>
  </w:style>
  <w:style w:type="paragraph" w:customStyle="1" w:styleId="16">
    <w:name w:val="Revision"/>
    <w:hidden/>
    <w:semiHidden/>
    <w:qFormat/>
    <w:uiPriority w:val="99"/>
    <w:rPr>
      <w:rFonts w:ascii="Times New Roman" w:hAnsi="Times New Roman" w:eastAsia="宋体" w:cs="Times New Roman"/>
      <w:kern w:val="2"/>
      <w:sz w:val="21"/>
      <w:szCs w:val="20"/>
      <w:lang w:val="en-US" w:eastAsia="zh-CN" w:bidi="ar-SA"/>
    </w:rPr>
  </w:style>
  <w:style w:type="character" w:customStyle="1" w:styleId="17">
    <w:name w:val="批注文字 Char"/>
    <w:basedOn w:val="10"/>
    <w:link w:val="3"/>
    <w:semiHidden/>
    <w:qFormat/>
    <w:uiPriority w:val="99"/>
    <w:rPr>
      <w:rFonts w:ascii="Times New Roman" w:hAnsi="Times New Roman" w:eastAsia="宋体" w:cs="Times New Roman"/>
      <w:szCs w:val="20"/>
    </w:rPr>
  </w:style>
  <w:style w:type="character" w:customStyle="1" w:styleId="18">
    <w:name w:val="批注主题 Char"/>
    <w:basedOn w:val="17"/>
    <w:link w:val="7"/>
    <w:semiHidden/>
    <w:qFormat/>
    <w:uiPriority w:val="99"/>
    <w:rPr>
      <w:rFonts w:ascii="Times New Roman" w:hAnsi="Times New Roman" w:eastAsia="宋体" w:cs="Times New Roman"/>
      <w:b/>
      <w:bCs/>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BC2355-6AD1-43D4-8375-287F861D8E70}">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10</Pages>
  <Words>4169</Words>
  <Characters>4276</Characters>
  <Lines>32</Lines>
  <Paragraphs>9</Paragraphs>
  <TotalTime>172</TotalTime>
  <ScaleCrop>false</ScaleCrop>
  <LinksUpToDate>false</LinksUpToDate>
  <CharactersWithSpaces>4277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2022-01-20T00:10:00Z</dcterms:created>
  <dc:creator>Andy</dc:creator>
  <cp:lastModifiedBy>吴茂华</cp:lastModifiedBy>
  <cp:lastPrinted>2021-12-29T05:48:00Z</cp:lastPrinted>
  <dcterms:modified xsi:type="dcterms:W3CDTF">2022-04-06T02:54:07Z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05406FBC100C4FC79B258BC51C924950</vt:lpwstr>
  </property>
</Properties>
</file>