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A067B9">
      <w:pPr>
        <w:adjustRightInd w:val="0"/>
        <w:spacing w:after="156" w:afterLines="50" w:line="240" w:lineRule="auto"/>
        <w:jc w:val="center"/>
        <w:rPr>
          <w:rFonts w:hint="eastAsia" w:ascii="方正小标宋_GBK" w:hAnsi="方正小标宋_GBK" w:eastAsia="方正小标宋_GBK" w:cs="方正小标宋_GBK"/>
          <w:b/>
          <w:sz w:val="40"/>
          <w:szCs w:val="40"/>
        </w:rPr>
      </w:pPr>
      <w:r>
        <w:rPr>
          <w:rFonts w:hint="eastAsia" w:ascii="方正小标宋_GBK" w:hAnsi="方正小标宋_GBK" w:eastAsia="方正小标宋_GBK" w:cs="方正小标宋_GBK"/>
          <w:b/>
          <w:sz w:val="40"/>
          <w:szCs w:val="40"/>
        </w:rPr>
        <w:t>补学申请操作流程</w:t>
      </w:r>
    </w:p>
    <w:p w14:paraId="120F1A1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根据《浙江省继续医学教育实施办法》第四章第十九条规定“</w:t>
      </w:r>
      <w:r>
        <w:rPr>
          <w:rStyle w:val="40"/>
          <w:rFonts w:hint="eastAsia" w:ascii="仿宋_GB2312" w:hAnsi="仿宋_GB2312" w:eastAsia="仿宋_GB2312" w:cs="仿宋_GB2312"/>
          <w:b w:val="0"/>
          <w:bCs/>
          <w:i w:val="0"/>
          <w:iCs w:val="0"/>
          <w:sz w:val="32"/>
          <w:szCs w:val="32"/>
          <w:u w:val="single"/>
          <w:lang w:val="en-US" w:eastAsia="zh-CN"/>
        </w:rPr>
        <w:t>卫生专业技术人员因特殊原因无法在当年完成继续医学教育学分要求的，可</w:t>
      </w:r>
      <w:r>
        <w:rPr>
          <w:rStyle w:val="40"/>
          <w:rFonts w:hint="eastAsia" w:ascii="仿宋_GB2312" w:hAnsi="仿宋_GB2312" w:eastAsia="仿宋_GB2312" w:cs="仿宋_GB2312"/>
          <w:b w:val="0"/>
          <w:bCs/>
          <w:i w:val="0"/>
          <w:iCs w:val="0"/>
          <w:strike w:val="0"/>
          <w:dstrike w:val="0"/>
          <w:sz w:val="32"/>
          <w:szCs w:val="32"/>
          <w:u w:val="single"/>
          <w:lang w:val="en-US" w:eastAsia="zh-CN"/>
        </w:rPr>
        <w:t>在</w:t>
      </w:r>
      <w:r>
        <w:rPr>
          <w:rStyle w:val="40"/>
          <w:rFonts w:hint="eastAsia" w:ascii="仿宋_GB2312" w:hAnsi="仿宋_GB2312" w:eastAsia="仿宋_GB2312" w:cs="仿宋_GB2312"/>
          <w:b w:val="0"/>
          <w:bCs/>
          <w:i w:val="0"/>
          <w:iCs w:val="0"/>
          <w:sz w:val="32"/>
          <w:szCs w:val="32"/>
          <w:u w:val="single"/>
          <w:lang w:val="en-US" w:eastAsia="zh-CN"/>
        </w:rPr>
        <w:t>当年向所在单位提出申请，由用人单位核实并出具证明，向同级卫生健康行政部门报备后，于下一年度补学。</w:t>
      </w:r>
      <w:r>
        <w:rPr>
          <w:rFonts w:hint="eastAsia" w:ascii="仿宋_GB2312" w:hAnsi="仿宋_GB2312" w:eastAsia="仿宋_GB2312" w:cs="仿宋_GB2312"/>
          <w:b w:val="0"/>
          <w:bCs/>
          <w:sz w:val="32"/>
          <w:szCs w:val="32"/>
          <w:u w:val="single"/>
          <w:lang w:val="en-US" w:eastAsia="zh-CN"/>
        </w:rPr>
        <w:t>”</w:t>
      </w:r>
      <w:r>
        <w:rPr>
          <w:rFonts w:hint="eastAsia" w:ascii="仿宋_GB2312" w:hAnsi="仿宋_GB2312" w:eastAsia="仿宋_GB2312" w:cs="仿宋_GB2312"/>
          <w:b w:val="0"/>
          <w:bCs/>
          <w:sz w:val="32"/>
          <w:szCs w:val="32"/>
          <w:lang w:val="en-US" w:eastAsia="zh-CN"/>
        </w:rPr>
        <w:t>浙江省继续医学教育管理系统于2026年1月份更新上线后，系统临时开通了2026年补学报备路径，因特殊原因未在2025年度完成学分要求的，请于2026年2月28日之前完成补学报备，逾期不补。</w:t>
      </w:r>
    </w:p>
    <w:p w14:paraId="7F50CEE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请各单位做好学分管理，</w:t>
      </w:r>
      <w:r>
        <w:rPr>
          <w:rStyle w:val="40"/>
          <w:rFonts w:hint="eastAsia" w:ascii="仿宋_GB2312" w:hAnsi="仿宋_GB2312" w:eastAsia="仿宋_GB2312" w:cs="仿宋_GB2312"/>
          <w:b w:val="0"/>
          <w:bCs/>
          <w:i w:val="0"/>
          <w:iCs w:val="0"/>
          <w:sz w:val="32"/>
          <w:szCs w:val="32"/>
          <w:u w:val="none"/>
          <w:lang w:val="en-US" w:eastAsia="zh-CN"/>
        </w:rPr>
        <w:t>因特殊原因无法在当年完成继续医学教育学分要求的，须在当年提出申请，经报备后于次年补学。</w:t>
      </w:r>
    </w:p>
    <w:p w14:paraId="586D8EEA">
      <w:pPr>
        <w:pStyle w:val="2"/>
        <w:ind w:firstLine="600" w:firstLineChars="200"/>
        <w:jc w:val="both"/>
        <w:rPr>
          <w:rFonts w:hint="eastAsia" w:ascii="黑体" w:hAnsi="黑体" w:eastAsia="黑体" w:cs="黑体"/>
          <w:lang w:val="en-US" w:eastAsia="zh-CN"/>
        </w:rPr>
      </w:pPr>
      <w:r>
        <w:rPr>
          <w:rFonts w:hint="eastAsia" w:ascii="黑体" w:hAnsi="黑体" w:eastAsia="黑体" w:cs="黑体"/>
          <w:b w:val="0"/>
          <w:bCs/>
          <w:sz w:val="32"/>
          <w:szCs w:val="32"/>
          <w:lang w:val="en-US" w:eastAsia="zh-CN"/>
        </w:rPr>
        <w:t>一、卫生专业技术人员补学报备路径</w:t>
      </w:r>
    </w:p>
    <w:p w14:paraId="1F791CD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访问浙江省卫生健康委医学教育信息服务平台（https://zjyxjy.wsjkw.zj.gov.cn/），“继续医学教育管理”——“（新）学分管理入口/继续医学教育管理系统”，通过账号</w:t>
      </w:r>
      <w:r>
        <w:rPr>
          <w:rFonts w:hint="eastAsia" w:ascii="仿宋_GB2312" w:hAnsi="仿宋_GB2312" w:eastAsia="仿宋_GB2312" w:cs="仿宋_GB2312"/>
          <w:b w:val="0"/>
          <w:bCs/>
          <w:color w:val="auto"/>
          <w:sz w:val="32"/>
          <w:szCs w:val="32"/>
          <w:lang w:val="en-US" w:eastAsia="zh-CN"/>
        </w:rPr>
        <w:t>或通过手机验证码</w:t>
      </w:r>
      <w:r>
        <w:rPr>
          <w:rFonts w:hint="eastAsia" w:ascii="仿宋_GB2312" w:hAnsi="仿宋_GB2312" w:eastAsia="仿宋_GB2312" w:cs="仿宋_GB2312"/>
          <w:b w:val="0"/>
          <w:bCs/>
          <w:sz w:val="32"/>
          <w:szCs w:val="32"/>
          <w:lang w:val="en-US" w:eastAsia="zh-CN"/>
        </w:rPr>
        <w:t>登录。个人账号登录后，点击“学分补录报备”，再点击“补学申请”按钮，填写申请说明与上传附件（附件非必填），填写完成后点击“提交申请”等待所在单位审核。</w:t>
      </w:r>
    </w:p>
    <w:p w14:paraId="42A76C32">
      <w:pPr>
        <w:adjustRightInd w:val="0"/>
        <w:spacing w:after="156" w:afterLines="50" w:line="240" w:lineRule="auto"/>
        <w:ind w:firstLine="560" w:firstLineChars="200"/>
        <w:rPr>
          <w:rFonts w:ascii="仿宋" w:hAnsi="仿宋" w:eastAsia="仿宋" w:cs="宋体"/>
          <w:sz w:val="28"/>
          <w:szCs w:val="28"/>
        </w:rPr>
      </w:pPr>
    </w:p>
    <w:p w14:paraId="02DF8EF9">
      <w:pPr>
        <w:adjustRightInd w:val="0"/>
        <w:spacing w:after="156" w:afterLines="50" w:line="240" w:lineRule="auto"/>
        <w:rPr>
          <w:rFonts w:hint="eastAsia" w:ascii="仿宋" w:hAnsi="仿宋" w:eastAsia="仿宋"/>
          <w:sz w:val="28"/>
          <w:szCs w:val="28"/>
          <w:lang w:eastAsia="zh-CN"/>
        </w:rPr>
      </w:pPr>
      <w:r>
        <w:rPr>
          <w:rFonts w:ascii="仿宋" w:hAnsi="仿宋" w:eastAsia="仿宋"/>
          <w:sz w:val="28"/>
          <w:szCs w:val="28"/>
          <w:bdr w:val="single" w:sz="4" w:space="0"/>
        </w:rPr>
        <w:drawing>
          <wp:inline distT="0" distB="0" distL="0" distR="0">
            <wp:extent cx="4598670" cy="2693670"/>
            <wp:effectExtent l="0" t="0" r="1143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a:stretch>
                      <a:fillRect/>
                    </a:stretch>
                  </pic:blipFill>
                  <pic:spPr>
                    <a:xfrm>
                      <a:off x="0" y="0"/>
                      <a:ext cx="4598670" cy="2693670"/>
                    </a:xfrm>
                    <a:prstGeom prst="rect">
                      <a:avLst/>
                    </a:prstGeom>
                  </pic:spPr>
                </pic:pic>
              </a:graphicData>
            </a:graphic>
          </wp:inline>
        </w:drawing>
      </w:r>
      <w:r>
        <w:rPr>
          <w:rFonts w:hint="eastAsia" w:ascii="仿宋" w:hAnsi="仿宋" w:eastAsia="仿宋"/>
          <w:sz w:val="28"/>
          <w:szCs w:val="28"/>
          <w:lang w:eastAsia="zh-CN"/>
        </w:rPr>
        <w:t>（</w:t>
      </w:r>
      <w:r>
        <w:rPr>
          <w:rFonts w:hint="eastAsia" w:ascii="仿宋" w:hAnsi="仿宋" w:eastAsia="仿宋"/>
          <w:sz w:val="28"/>
          <w:szCs w:val="28"/>
          <w:lang w:val="en-US" w:eastAsia="zh-CN"/>
        </w:rPr>
        <w:t>图1</w:t>
      </w:r>
      <w:r>
        <w:rPr>
          <w:rFonts w:hint="eastAsia" w:ascii="仿宋" w:hAnsi="仿宋" w:eastAsia="仿宋"/>
          <w:sz w:val="28"/>
          <w:szCs w:val="28"/>
          <w:lang w:eastAsia="zh-CN"/>
        </w:rPr>
        <w:t>）</w:t>
      </w:r>
    </w:p>
    <w:p w14:paraId="2F8C9CDB">
      <w:pPr>
        <w:adjustRightInd w:val="0"/>
        <w:spacing w:after="156" w:afterLines="50" w:line="240" w:lineRule="auto"/>
        <w:rPr>
          <w:rFonts w:hint="eastAsia" w:eastAsia="仿宋"/>
          <w:lang w:eastAsia="zh-CN"/>
        </w:rPr>
      </w:pPr>
      <w:r>
        <w:rPr>
          <w:rFonts w:ascii="仿宋" w:hAnsi="仿宋" w:eastAsia="仿宋"/>
          <w:sz w:val="28"/>
          <w:szCs w:val="28"/>
          <w:bdr w:val="single" w:sz="4" w:space="0"/>
        </w:rPr>
        <w:drawing>
          <wp:inline distT="0" distB="0" distL="0" distR="0">
            <wp:extent cx="4598670" cy="2792095"/>
            <wp:effectExtent l="0" t="0" r="1143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4598670" cy="2792095"/>
                    </a:xfrm>
                    <a:prstGeom prst="rect">
                      <a:avLst/>
                    </a:prstGeom>
                  </pic:spPr>
                </pic:pic>
              </a:graphicData>
            </a:graphic>
          </wp:inline>
        </w:drawing>
      </w:r>
      <w:r>
        <w:rPr>
          <w:rFonts w:hint="eastAsia" w:ascii="仿宋" w:hAnsi="仿宋" w:eastAsia="仿宋"/>
          <w:sz w:val="28"/>
          <w:szCs w:val="28"/>
          <w:lang w:eastAsia="zh-CN"/>
        </w:rPr>
        <w:t>（</w:t>
      </w:r>
      <w:r>
        <w:rPr>
          <w:rFonts w:hint="eastAsia" w:ascii="仿宋" w:hAnsi="仿宋" w:eastAsia="仿宋"/>
          <w:sz w:val="28"/>
          <w:szCs w:val="28"/>
          <w:lang w:val="en-US" w:eastAsia="zh-CN"/>
        </w:rPr>
        <w:t>图2</w:t>
      </w:r>
      <w:r>
        <w:rPr>
          <w:rFonts w:hint="eastAsia" w:ascii="仿宋" w:hAnsi="仿宋" w:eastAsia="仿宋"/>
          <w:sz w:val="28"/>
          <w:szCs w:val="28"/>
          <w:lang w:eastAsia="zh-CN"/>
        </w:rPr>
        <w:t>）</w:t>
      </w:r>
    </w:p>
    <w:p w14:paraId="010F1F10">
      <w:pPr>
        <w:adjustRightInd w:val="0"/>
        <w:spacing w:after="156" w:afterLines="50" w:line="240" w:lineRule="auto"/>
        <w:rPr>
          <w:rFonts w:hint="eastAsia" w:ascii="仿宋" w:hAnsi="仿宋" w:eastAsia="仿宋" w:cstheme="minorBidi"/>
          <w:spacing w:val="0"/>
          <w:kern w:val="2"/>
          <w:sz w:val="28"/>
          <w:szCs w:val="28"/>
          <w:lang w:val="en-US" w:eastAsia="zh-CN" w:bidi="ar-SA"/>
          <w14:ligatures w14:val="standardContextual"/>
        </w:rPr>
      </w:pPr>
      <w:r>
        <w:rPr>
          <w:bdr w:val="single" w:sz="4" w:space="0"/>
        </w:rPr>
        <w:drawing>
          <wp:inline distT="0" distB="0" distL="0" distR="0">
            <wp:extent cx="4627880" cy="2708910"/>
            <wp:effectExtent l="0" t="0" r="127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627880" cy="2708910"/>
                    </a:xfrm>
                    <a:prstGeom prst="rect">
                      <a:avLst/>
                    </a:prstGeom>
                  </pic:spPr>
                </pic:pic>
              </a:graphicData>
            </a:graphic>
          </wp:inline>
        </w:drawing>
      </w:r>
      <w:r>
        <w:rPr>
          <w:rFonts w:hint="eastAsia" w:ascii="仿宋" w:hAnsi="仿宋" w:eastAsia="仿宋" w:cstheme="minorBidi"/>
          <w:spacing w:val="0"/>
          <w:kern w:val="2"/>
          <w:sz w:val="28"/>
          <w:szCs w:val="28"/>
          <w:lang w:val="en-US" w:eastAsia="zh-CN" w:bidi="ar-SA"/>
          <w14:ligatures w14:val="standardContextual"/>
        </w:rPr>
        <w:t>（图3）</w:t>
      </w:r>
    </w:p>
    <w:p w14:paraId="2BFE78C3">
      <w:pPr>
        <w:pStyle w:val="2"/>
        <w:jc w:val="left"/>
        <w:rPr>
          <w:rFonts w:hint="eastAsia"/>
          <w:lang w:val="en-US" w:eastAsia="zh-CN"/>
        </w:rPr>
      </w:pPr>
      <w:r>
        <w:drawing>
          <wp:inline distT="0" distB="0" distL="114300" distR="114300">
            <wp:extent cx="4582795" cy="2746375"/>
            <wp:effectExtent l="9525" t="9525" r="17780" b="254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rcRect l="15531" t="4268" r="15483" b="4294"/>
                    <a:stretch>
                      <a:fillRect/>
                    </a:stretch>
                  </pic:blipFill>
                  <pic:spPr>
                    <a:xfrm>
                      <a:off x="0" y="0"/>
                      <a:ext cx="4582795" cy="2746375"/>
                    </a:xfrm>
                    <a:prstGeom prst="rect">
                      <a:avLst/>
                    </a:prstGeom>
                    <a:noFill/>
                    <a:ln>
                      <a:solidFill>
                        <a:schemeClr val="tx1"/>
                      </a:solidFill>
                    </a:ln>
                  </pic:spPr>
                </pic:pic>
              </a:graphicData>
            </a:graphic>
          </wp:inline>
        </w:drawing>
      </w:r>
      <w:r>
        <w:rPr>
          <w:rFonts w:hint="eastAsia" w:ascii="仿宋" w:hAnsi="仿宋" w:eastAsia="仿宋" w:cstheme="minorBidi"/>
          <w:spacing w:val="0"/>
          <w:kern w:val="2"/>
          <w:sz w:val="28"/>
          <w:szCs w:val="28"/>
          <w:lang w:val="en-US" w:eastAsia="zh-CN" w:bidi="ar-SA"/>
          <w14:ligatures w14:val="standardContextual"/>
        </w:rPr>
        <w:t>（图4）</w:t>
      </w:r>
    </w:p>
    <w:p w14:paraId="6C7500BE">
      <w:pPr>
        <w:adjustRightInd w:val="0"/>
        <w:spacing w:after="156" w:afterLines="50" w:line="240" w:lineRule="auto"/>
        <w:rPr>
          <w:rFonts w:hint="eastAsia" w:ascii="黑体" w:hAnsi="黑体" w:eastAsia="黑体" w:cs="黑体"/>
          <w:b w:val="0"/>
          <w:bCs/>
          <w:spacing w:val="-10"/>
          <w:kern w:val="28"/>
          <w:sz w:val="32"/>
          <w:szCs w:val="32"/>
          <w:lang w:val="en-US" w:eastAsia="zh-CN" w:bidi="ar-SA"/>
          <w14:ligatures w14:val="standardContextual"/>
        </w:rPr>
      </w:pPr>
      <w:r>
        <w:rPr>
          <w:rFonts w:ascii="仿宋" w:hAnsi="仿宋" w:eastAsia="仿宋"/>
          <w:sz w:val="28"/>
          <w:szCs w:val="28"/>
          <w:bdr w:val="single" w:sz="4" w:space="0"/>
        </w:rPr>
        <w:drawing>
          <wp:inline distT="0" distB="0" distL="0" distR="0">
            <wp:extent cx="4798060" cy="2740025"/>
            <wp:effectExtent l="0" t="0" r="2540" b="3175"/>
            <wp:docPr id="1748481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81821" name="图片 1"/>
                    <pic:cNvPicPr>
                      <a:picLocks noChangeAspect="1"/>
                    </pic:cNvPicPr>
                  </pic:nvPicPr>
                  <pic:blipFill>
                    <a:blip r:embed="rId10"/>
                    <a:stretch>
                      <a:fillRect/>
                    </a:stretch>
                  </pic:blipFill>
                  <pic:spPr>
                    <a:xfrm>
                      <a:off x="0" y="0"/>
                      <a:ext cx="4798060" cy="2740025"/>
                    </a:xfrm>
                    <a:prstGeom prst="rect">
                      <a:avLst/>
                    </a:prstGeom>
                  </pic:spPr>
                </pic:pic>
              </a:graphicData>
            </a:graphic>
          </wp:inline>
        </w:drawing>
      </w:r>
      <w:r>
        <w:rPr>
          <w:rFonts w:hint="eastAsia" w:ascii="仿宋" w:hAnsi="仿宋" w:eastAsia="仿宋" w:cstheme="minorBidi"/>
          <w:spacing w:val="0"/>
          <w:kern w:val="2"/>
          <w:sz w:val="28"/>
          <w:szCs w:val="28"/>
          <w:lang w:val="en-US" w:eastAsia="zh-CN" w:bidi="ar-SA"/>
          <w14:ligatures w14:val="standardContextual"/>
        </w:rPr>
        <w:t>(图5）</w:t>
      </w:r>
      <w:r>
        <w:rPr>
          <w:rFonts w:hint="eastAsia" w:ascii="黑体" w:hAnsi="黑体" w:eastAsia="黑体" w:cs="黑体"/>
          <w:b w:val="0"/>
          <w:bCs/>
          <w:spacing w:val="-10"/>
          <w:kern w:val="28"/>
          <w:sz w:val="32"/>
          <w:szCs w:val="32"/>
          <w:lang w:val="en-US" w:eastAsia="zh-CN" w:bidi="ar-SA"/>
          <w14:ligatures w14:val="standardContextual"/>
        </w:rPr>
        <w:t>二、用人单位审核路径</w:t>
      </w:r>
    </w:p>
    <w:p w14:paraId="04203F9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用人单位按照图1-3的路径，账号登录——点击“学分管理”——“补学申请审核”，打开审核界面，确认无误后勾选对应人员，点击审核通过。</w:t>
      </w:r>
    </w:p>
    <w:p w14:paraId="61AACD9B">
      <w:pPr>
        <w:adjustRightInd w:val="0"/>
        <w:spacing w:after="156" w:afterLines="50" w:line="240" w:lineRule="auto"/>
        <w:ind w:firstLine="562" w:firstLineChars="200"/>
        <w:rPr>
          <w:rFonts w:ascii="仿宋" w:hAnsi="仿宋" w:eastAsia="仿宋"/>
          <w:b/>
          <w:color w:val="FF0000"/>
          <w:sz w:val="28"/>
          <w:szCs w:val="28"/>
        </w:rPr>
      </w:pPr>
      <w:r>
        <w:rPr>
          <w:rFonts w:hint="eastAsia" w:ascii="仿宋" w:hAnsi="仿宋" w:eastAsia="仿宋"/>
          <w:b/>
          <w:color w:val="FF0000"/>
          <w:sz w:val="28"/>
          <w:szCs w:val="28"/>
        </w:rPr>
        <w:t>注明：审核不通过代表不同意该学员补学上一年学分。</w:t>
      </w:r>
    </w:p>
    <w:p w14:paraId="7FD8603A">
      <w:pPr>
        <w:adjustRightInd w:val="0"/>
        <w:spacing w:after="156" w:afterLines="50" w:line="240" w:lineRule="auto"/>
        <w:rPr>
          <w:rFonts w:ascii="仿宋" w:hAnsi="仿宋" w:eastAsia="仿宋"/>
          <w:sz w:val="28"/>
          <w:szCs w:val="28"/>
        </w:rPr>
      </w:pPr>
      <w:r>
        <w:rPr>
          <w:rFonts w:ascii="仿宋" w:hAnsi="仿宋" w:eastAsia="仿宋"/>
          <w:sz w:val="28"/>
          <w:szCs w:val="28"/>
          <w:bdr w:val="single" w:sz="4" w:space="0"/>
        </w:rPr>
        <w:drawing>
          <wp:inline distT="0" distB="0" distL="0" distR="0">
            <wp:extent cx="4836795" cy="2852420"/>
            <wp:effectExtent l="0" t="0" r="1905" b="5080"/>
            <wp:docPr id="1472454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54635" name="图片 1"/>
                    <pic:cNvPicPr>
                      <a:picLocks noChangeAspect="1"/>
                    </pic:cNvPicPr>
                  </pic:nvPicPr>
                  <pic:blipFill>
                    <a:blip r:embed="rId11"/>
                    <a:stretch>
                      <a:fillRect/>
                    </a:stretch>
                  </pic:blipFill>
                  <pic:spPr>
                    <a:xfrm>
                      <a:off x="0" y="0"/>
                      <a:ext cx="4836795" cy="2852420"/>
                    </a:xfrm>
                    <a:prstGeom prst="rect">
                      <a:avLst/>
                    </a:prstGeom>
                  </pic:spPr>
                </pic:pic>
              </a:graphicData>
            </a:graphic>
          </wp:inline>
        </w:drawing>
      </w:r>
      <w:r>
        <w:rPr>
          <w:rFonts w:hint="eastAsia" w:ascii="仿宋" w:hAnsi="仿宋" w:eastAsia="仿宋" w:cstheme="minorBidi"/>
          <w:spacing w:val="0"/>
          <w:kern w:val="2"/>
          <w:sz w:val="28"/>
          <w:szCs w:val="28"/>
          <w:lang w:val="en-US" w:eastAsia="zh-CN" w:bidi="ar-SA"/>
          <w14:ligatures w14:val="standardContextual"/>
        </w:rPr>
        <w:t>(图6）</w:t>
      </w:r>
    </w:p>
    <w:p w14:paraId="543C9219">
      <w:pPr>
        <w:adjustRightInd w:val="0"/>
        <w:spacing w:after="156" w:afterLines="50" w:line="240" w:lineRule="auto"/>
        <w:ind w:firstLine="600" w:firstLineChars="200"/>
        <w:rPr>
          <w:rFonts w:hint="default" w:ascii="黑体" w:hAnsi="黑体" w:eastAsia="黑体" w:cs="黑体"/>
          <w:b w:val="0"/>
          <w:bCs/>
          <w:spacing w:val="-10"/>
          <w:kern w:val="28"/>
          <w:sz w:val="32"/>
          <w:szCs w:val="32"/>
          <w:lang w:val="en-US" w:eastAsia="zh-CN" w:bidi="ar-SA"/>
          <w14:ligatures w14:val="standardContextual"/>
        </w:rPr>
      </w:pPr>
      <w:r>
        <w:rPr>
          <w:rFonts w:hint="eastAsia" w:ascii="黑体" w:hAnsi="黑体" w:eastAsia="黑体" w:cs="黑体"/>
          <w:b w:val="0"/>
          <w:bCs/>
          <w:spacing w:val="-10"/>
          <w:kern w:val="28"/>
          <w:sz w:val="32"/>
          <w:szCs w:val="32"/>
          <w:lang w:val="en-US" w:eastAsia="zh-CN" w:bidi="ar-SA"/>
          <w14:ligatures w14:val="standardContextual"/>
        </w:rPr>
        <w:t>三、卫生健康行政部门查看</w:t>
      </w:r>
    </w:p>
    <w:p w14:paraId="117268B3">
      <w:pPr>
        <w:adjustRightInd w:val="0"/>
        <w:spacing w:after="156" w:afterLines="50" w:line="240" w:lineRule="auto"/>
        <w:ind w:firstLine="640" w:firstLineChars="200"/>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各卫生健康行政部门按照图1-3的路径，通过账号登录，可在“学分补录报备审核”页面查询本辖区内的补学申请以及单位审核情况。</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_GBK">
    <w:panose1 w:val="02000000000000000000"/>
    <w:charset w:val="86"/>
    <w:family w:val="auto"/>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BFC"/>
    <w:rsid w:val="0004695C"/>
    <w:rsid w:val="000E2D2E"/>
    <w:rsid w:val="001418C4"/>
    <w:rsid w:val="00206C19"/>
    <w:rsid w:val="0026757C"/>
    <w:rsid w:val="00284E3D"/>
    <w:rsid w:val="003102A2"/>
    <w:rsid w:val="003A7BFC"/>
    <w:rsid w:val="00403A39"/>
    <w:rsid w:val="004541F7"/>
    <w:rsid w:val="006545C0"/>
    <w:rsid w:val="008336D0"/>
    <w:rsid w:val="008E683F"/>
    <w:rsid w:val="009009B8"/>
    <w:rsid w:val="0094441B"/>
    <w:rsid w:val="00946E37"/>
    <w:rsid w:val="009A0DD9"/>
    <w:rsid w:val="00A95E3E"/>
    <w:rsid w:val="00AC61DE"/>
    <w:rsid w:val="00AF1E7A"/>
    <w:rsid w:val="00B03FF1"/>
    <w:rsid w:val="00B5449C"/>
    <w:rsid w:val="00C45AE6"/>
    <w:rsid w:val="00CF55FE"/>
    <w:rsid w:val="00D17607"/>
    <w:rsid w:val="00DD1061"/>
    <w:rsid w:val="00E1178B"/>
    <w:rsid w:val="00E543DE"/>
    <w:rsid w:val="00EC4680"/>
    <w:rsid w:val="00ED7983"/>
    <w:rsid w:val="039F6670"/>
    <w:rsid w:val="46F20350"/>
    <w:rsid w:val="50834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4">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5">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6">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7">
    <w:name w:val="heading 4"/>
    <w:basedOn w:val="1"/>
    <w:next w:val="1"/>
    <w:link w:val="22"/>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8">
    <w:name w:val="heading 5"/>
    <w:basedOn w:val="1"/>
    <w:next w:val="1"/>
    <w:link w:val="23"/>
    <w:semiHidden/>
    <w:unhideWhenUsed/>
    <w:qFormat/>
    <w:uiPriority w:val="9"/>
    <w:pPr>
      <w:keepNext/>
      <w:keepLines/>
      <w:spacing w:before="80" w:after="40"/>
      <w:outlineLvl w:val="4"/>
    </w:pPr>
    <w:rPr>
      <w:rFonts w:cstheme="majorBidi"/>
      <w:color w:val="2F5597" w:themeColor="accent1" w:themeShade="BF"/>
      <w:sz w:val="24"/>
    </w:rPr>
  </w:style>
  <w:style w:type="paragraph" w:styleId="9">
    <w:name w:val="heading 6"/>
    <w:basedOn w:val="1"/>
    <w:next w:val="1"/>
    <w:link w:val="24"/>
    <w:semiHidden/>
    <w:unhideWhenUsed/>
    <w:qFormat/>
    <w:uiPriority w:val="9"/>
    <w:pPr>
      <w:keepNext/>
      <w:keepLines/>
      <w:spacing w:before="40" w:after="0"/>
      <w:outlineLvl w:val="5"/>
    </w:pPr>
    <w:rPr>
      <w:rFonts w:cstheme="majorBidi"/>
      <w:b/>
      <w:bCs/>
      <w:color w:val="2F5597" w:themeColor="accent1" w:themeShade="BF"/>
    </w:rPr>
  </w:style>
  <w:style w:type="paragraph" w:styleId="10">
    <w:name w:val="heading 7"/>
    <w:basedOn w:val="1"/>
    <w:next w:val="1"/>
    <w:link w:val="25"/>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26"/>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27"/>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3"/>
    <w:link w:val="28"/>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paragraph" w:styleId="3">
    <w:name w:val="Body Text Indent"/>
    <w:basedOn w:val="1"/>
    <w:next w:val="1"/>
    <w:qFormat/>
    <w:uiPriority w:val="0"/>
    <w:pPr>
      <w:widowControl w:val="0"/>
      <w:spacing w:line="150" w:lineRule="atLeast"/>
      <w:ind w:firstLine="420" w:firstLineChars="200"/>
      <w:jc w:val="both"/>
      <w:textAlignment w:val="baseline"/>
    </w:pPr>
    <w:rPr>
      <w:rFonts w:ascii="Times New Roman" w:hAnsi="Times New Roman" w:eastAsia="宋体" w:cs="Times New Roman"/>
      <w:kern w:val="2"/>
      <w:sz w:val="21"/>
      <w:szCs w:val="24"/>
      <w:lang w:val="en-US" w:eastAsia="zh-CN" w:bidi="ar-SA"/>
    </w:rPr>
  </w:style>
  <w:style w:type="paragraph" w:styleId="13">
    <w:name w:val="Balloon Text"/>
    <w:basedOn w:val="1"/>
    <w:link w:val="39"/>
    <w:semiHidden/>
    <w:unhideWhenUsed/>
    <w:qFormat/>
    <w:uiPriority w:val="99"/>
    <w:pPr>
      <w:spacing w:after="0" w:line="240" w:lineRule="auto"/>
    </w:pPr>
    <w:rPr>
      <w:sz w:val="18"/>
      <w:szCs w:val="18"/>
    </w:rPr>
  </w:style>
  <w:style w:type="paragraph" w:styleId="14">
    <w:name w:val="footer"/>
    <w:basedOn w:val="1"/>
    <w:link w:val="38"/>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37"/>
    <w:unhideWhenUsed/>
    <w:qFormat/>
    <w:uiPriority w:val="99"/>
    <w:pPr>
      <w:tabs>
        <w:tab w:val="center" w:pos="4153"/>
        <w:tab w:val="right" w:pos="8306"/>
      </w:tabs>
      <w:snapToGrid w:val="0"/>
      <w:spacing w:line="240" w:lineRule="auto"/>
      <w:jc w:val="center"/>
    </w:pPr>
    <w:rPr>
      <w:sz w:val="18"/>
      <w:szCs w:val="18"/>
    </w:rPr>
  </w:style>
  <w:style w:type="paragraph" w:styleId="16">
    <w:name w:val="Subtitle"/>
    <w:basedOn w:val="1"/>
    <w:next w:val="1"/>
    <w:link w:val="29"/>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19">
    <w:name w:val="标题 1 Char"/>
    <w:basedOn w:val="18"/>
    <w:link w:val="4"/>
    <w:qFormat/>
    <w:uiPriority w:val="9"/>
    <w:rPr>
      <w:rFonts w:asciiTheme="majorHAnsi" w:hAnsiTheme="majorHAnsi" w:eastAsiaTheme="majorEastAsia" w:cstheme="majorBidi"/>
      <w:color w:val="2F5597" w:themeColor="accent1" w:themeShade="BF"/>
      <w:sz w:val="48"/>
      <w:szCs w:val="48"/>
    </w:rPr>
  </w:style>
  <w:style w:type="character" w:customStyle="1" w:styleId="20">
    <w:name w:val="标题 2 Char"/>
    <w:basedOn w:val="18"/>
    <w:link w:val="5"/>
    <w:semiHidden/>
    <w:qFormat/>
    <w:uiPriority w:val="9"/>
    <w:rPr>
      <w:rFonts w:asciiTheme="majorHAnsi" w:hAnsiTheme="majorHAnsi" w:eastAsiaTheme="majorEastAsia" w:cstheme="majorBidi"/>
      <w:color w:val="2F5597" w:themeColor="accent1" w:themeShade="BF"/>
      <w:sz w:val="40"/>
      <w:szCs w:val="40"/>
    </w:rPr>
  </w:style>
  <w:style w:type="character" w:customStyle="1" w:styleId="21">
    <w:name w:val="标题 3 Char"/>
    <w:basedOn w:val="18"/>
    <w:link w:val="6"/>
    <w:semiHidden/>
    <w:qFormat/>
    <w:uiPriority w:val="9"/>
    <w:rPr>
      <w:rFonts w:asciiTheme="majorHAnsi" w:hAnsiTheme="majorHAnsi" w:eastAsiaTheme="majorEastAsia" w:cstheme="majorBidi"/>
      <w:color w:val="2F5597" w:themeColor="accent1" w:themeShade="BF"/>
      <w:sz w:val="32"/>
      <w:szCs w:val="32"/>
    </w:rPr>
  </w:style>
  <w:style w:type="character" w:customStyle="1" w:styleId="22">
    <w:name w:val="标题 4 Char"/>
    <w:basedOn w:val="18"/>
    <w:link w:val="7"/>
    <w:semiHidden/>
    <w:qFormat/>
    <w:uiPriority w:val="9"/>
    <w:rPr>
      <w:rFonts w:cstheme="majorBidi"/>
      <w:color w:val="2F5597" w:themeColor="accent1" w:themeShade="BF"/>
      <w:sz w:val="28"/>
      <w:szCs w:val="28"/>
    </w:rPr>
  </w:style>
  <w:style w:type="character" w:customStyle="1" w:styleId="23">
    <w:name w:val="标题 5 Char"/>
    <w:basedOn w:val="18"/>
    <w:link w:val="8"/>
    <w:semiHidden/>
    <w:qFormat/>
    <w:uiPriority w:val="9"/>
    <w:rPr>
      <w:rFonts w:cstheme="majorBidi"/>
      <w:color w:val="2F5597" w:themeColor="accent1" w:themeShade="BF"/>
      <w:sz w:val="24"/>
    </w:rPr>
  </w:style>
  <w:style w:type="character" w:customStyle="1" w:styleId="24">
    <w:name w:val="标题 6 Char"/>
    <w:basedOn w:val="18"/>
    <w:link w:val="9"/>
    <w:semiHidden/>
    <w:qFormat/>
    <w:uiPriority w:val="9"/>
    <w:rPr>
      <w:rFonts w:cstheme="majorBidi"/>
      <w:b/>
      <w:bCs/>
      <w:color w:val="2F5597" w:themeColor="accent1" w:themeShade="BF"/>
    </w:rPr>
  </w:style>
  <w:style w:type="character" w:customStyle="1" w:styleId="25">
    <w:name w:val="标题 7 Char"/>
    <w:basedOn w:val="18"/>
    <w:link w:val="10"/>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Char"/>
    <w:basedOn w:val="18"/>
    <w:link w:val="11"/>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Char"/>
    <w:basedOn w:val="18"/>
    <w:link w:val="12"/>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Char"/>
    <w:basedOn w:val="18"/>
    <w:link w:val="2"/>
    <w:qFormat/>
    <w:uiPriority w:val="10"/>
    <w:rPr>
      <w:rFonts w:asciiTheme="majorHAnsi" w:hAnsiTheme="majorHAnsi" w:eastAsiaTheme="majorEastAsia" w:cstheme="majorBidi"/>
      <w:spacing w:val="-10"/>
      <w:kern w:val="28"/>
      <w:sz w:val="56"/>
      <w:szCs w:val="56"/>
    </w:rPr>
  </w:style>
  <w:style w:type="character" w:customStyle="1" w:styleId="29">
    <w:name w:val="副标题 Char"/>
    <w:basedOn w:val="18"/>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Char"/>
    <w:basedOn w:val="18"/>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8"/>
    <w:qFormat/>
    <w:uiPriority w:val="21"/>
    <w:rPr>
      <w:i/>
      <w:iCs/>
      <w:color w:val="2F5597" w:themeColor="accent1" w:themeShade="BF"/>
    </w:rPr>
  </w:style>
  <w:style w:type="paragraph" w:styleId="34">
    <w:name w:val="Intense Quote"/>
    <w:basedOn w:val="1"/>
    <w:next w:val="1"/>
    <w:link w:val="35"/>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5">
    <w:name w:val="明显引用 Char"/>
    <w:basedOn w:val="18"/>
    <w:link w:val="34"/>
    <w:qFormat/>
    <w:uiPriority w:val="30"/>
    <w:rPr>
      <w:i/>
      <w:iCs/>
      <w:color w:val="2F5597" w:themeColor="accent1" w:themeShade="BF"/>
    </w:rPr>
  </w:style>
  <w:style w:type="character" w:customStyle="1" w:styleId="36">
    <w:name w:val="Intense Reference"/>
    <w:basedOn w:val="18"/>
    <w:qFormat/>
    <w:uiPriority w:val="32"/>
    <w:rPr>
      <w:b/>
      <w:bCs/>
      <w:smallCaps/>
      <w:color w:val="2F5597" w:themeColor="accent1" w:themeShade="BF"/>
      <w:spacing w:val="5"/>
    </w:rPr>
  </w:style>
  <w:style w:type="character" w:customStyle="1" w:styleId="37">
    <w:name w:val="页眉 Char"/>
    <w:basedOn w:val="18"/>
    <w:link w:val="15"/>
    <w:qFormat/>
    <w:uiPriority w:val="99"/>
    <w:rPr>
      <w:sz w:val="18"/>
      <w:szCs w:val="18"/>
    </w:rPr>
  </w:style>
  <w:style w:type="character" w:customStyle="1" w:styleId="38">
    <w:name w:val="页脚 Char"/>
    <w:basedOn w:val="18"/>
    <w:link w:val="14"/>
    <w:qFormat/>
    <w:uiPriority w:val="99"/>
    <w:rPr>
      <w:sz w:val="18"/>
      <w:szCs w:val="18"/>
    </w:rPr>
  </w:style>
  <w:style w:type="character" w:customStyle="1" w:styleId="39">
    <w:name w:val="批注框文本 Char"/>
    <w:basedOn w:val="18"/>
    <w:link w:val="13"/>
    <w:semiHidden/>
    <w:qFormat/>
    <w:uiPriority w:val="99"/>
    <w:rPr>
      <w:sz w:val="18"/>
      <w:szCs w:val="18"/>
    </w:rPr>
  </w:style>
  <w:style w:type="character" w:customStyle="1" w:styleId="40">
    <w:name w:val="style341"/>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613</Words>
  <Characters>658</Characters>
  <Lines>2</Lines>
  <Paragraphs>1</Paragraphs>
  <TotalTime>6</TotalTime>
  <ScaleCrop>false</ScaleCrop>
  <LinksUpToDate>false</LinksUpToDate>
  <CharactersWithSpaces>658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2026-02-09T03:29:00Z</dcterms:created>
  <dc:creator>明 陈</dc:creator>
  <cp:lastModifiedBy>官绵绵</cp:lastModifiedBy>
  <dcterms:modified xsi:type="dcterms:W3CDTF">2026-02-11T03:32:36Z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eyJoZGlkIjoiZTcyOTA0NjEzZWZiODZhY2UzZmNhOGIzNjQ0ZTc3YjMiLCJ1c2VySWQiOiI2MjkzNzU1MzMifQ==</vt:lpwstr>
  </property>
  <property fmtid="{D5CDD505-2E9C-101B-9397-08002B2CF9AE}" pid="3" name="KSOProductBuildVer">
    <vt:lpwstr>2052-12.1.0.24657</vt:lpwstr>
  </property>
  <property fmtid="{D5CDD505-2E9C-101B-9397-08002B2CF9AE}" pid="4" name="ICV">
    <vt:lpwstr>D83B7EE8446D423084E252BCB4D0D185_13</vt:lpwstr>
  </property>
</Properties>
</file>